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7E0" w:rsidRDefault="004347E0" w:rsidP="008F23A8">
      <w:pPr>
        <w:spacing w:after="0" w:line="240" w:lineRule="auto"/>
        <w:rPr>
          <w:rFonts w:ascii="Calibri" w:eastAsia="Times New Roman" w:hAnsi="Calibri" w:cs="Calibri"/>
          <w:b/>
          <w:bCs/>
          <w:noProof/>
          <w:color w:val="000000"/>
          <w:lang w:eastAsia="es-SV"/>
        </w:rPr>
      </w:pPr>
      <w:r>
        <w:rPr>
          <w:rFonts w:ascii="Calibri" w:eastAsia="Times New Roman" w:hAnsi="Calibri" w:cs="Calibri"/>
          <w:b/>
          <w:bCs/>
          <w:noProof/>
          <w:color w:val="000000"/>
          <w:lang w:eastAsia="es-SV"/>
        </w:rPr>
        <w:drawing>
          <wp:inline distT="0" distB="0" distL="0" distR="0" wp14:anchorId="31003A69">
            <wp:extent cx="6362700" cy="42767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grayscl/>
                      <a:extLst>
                        <a:ext uri="{BEBA8EAE-BF5A-486C-A8C5-ECC9F3942E4B}">
                          <a14:imgProps xmlns:a14="http://schemas.microsoft.com/office/drawing/2010/main">
                            <a14:imgLayer r:embed="rId6">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6363317" cy="4277140"/>
                    </a:xfrm>
                    <a:prstGeom prst="rect">
                      <a:avLst/>
                    </a:prstGeom>
                    <a:noFill/>
                  </pic:spPr>
                </pic:pic>
              </a:graphicData>
            </a:graphic>
          </wp:inline>
        </w:drawing>
      </w:r>
    </w:p>
    <w:p w:rsidR="001929ED" w:rsidRDefault="001929ED" w:rsidP="008F23A8">
      <w:pPr>
        <w:spacing w:after="0" w:line="240" w:lineRule="auto"/>
        <w:rPr>
          <w:rFonts w:ascii="Calibri" w:eastAsia="Times New Roman" w:hAnsi="Calibri" w:cs="Calibri"/>
          <w:b/>
          <w:bCs/>
          <w:noProof/>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1, INVERSION INICIAL</w:t>
      </w:r>
    </w:p>
    <w:p w:rsidR="008F23A8" w:rsidRDefault="008F23A8"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En esta transacción podemos observar lo que es la suscripción de las acciones por parte de los accionistas, también se puede observar lo que es el pago de los accionistas por cada una de las acciones suscritas. </w:t>
      </w:r>
      <w:r w:rsidR="00314749">
        <w:rPr>
          <w:rFonts w:ascii="Calibri" w:eastAsia="Times New Roman" w:hAnsi="Calibri" w:cs="Calibri"/>
          <w:bCs/>
          <w:color w:val="000000"/>
          <w:lang w:eastAsia="es-SV"/>
        </w:rPr>
        <w:t xml:space="preserve"> </w:t>
      </w:r>
      <w:bookmarkStart w:id="0" w:name="_GoBack"/>
      <w:bookmarkEnd w:id="0"/>
    </w:p>
    <w:p w:rsidR="00314749" w:rsidRDefault="0031474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Ref. </w:t>
      </w:r>
    </w:p>
    <w:p w:rsidR="00314749" w:rsidRDefault="0031474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22, párrafo 22.7  (a</w:t>
      </w:r>
    </w:p>
    <w:p w:rsidR="00314749" w:rsidRDefault="0031474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26, párrafo 26.2</w:t>
      </w:r>
    </w:p>
    <w:p w:rsidR="00314749" w:rsidRPr="008F23A8" w:rsidRDefault="00314749"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2, PRÉSTAMOS BANCARIOS</w:t>
      </w:r>
    </w:p>
    <w:p w:rsidR="00314749" w:rsidRDefault="00802CA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Con el préstamo que se realiza aumenta el activo de la empresa (efectivo) adquiriendo al mismo tiempo una deuda  con el banco aumentando de esta forma los pasivos (préstamos bancarios), adquiriendo así la empresa más recursos para solventar las necesidades futuras.</w:t>
      </w:r>
    </w:p>
    <w:p w:rsidR="00802CAB" w:rsidRDefault="00802CA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802CAB" w:rsidRDefault="00802CA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22, párrafo 22.5 (c</w:t>
      </w:r>
    </w:p>
    <w:p w:rsidR="00802CAB" w:rsidRPr="00314749" w:rsidRDefault="00802CAB"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3, ADQUISICION DE MERCADERIA</w:t>
      </w:r>
    </w:p>
    <w:p w:rsidR="00CF5A3F" w:rsidRDefault="00802CA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Esta transacción aumenta un activo (Almacén de productos para la venta) y disminuye al mismo tiempo otro (Efectivo), </w:t>
      </w:r>
      <w:r w:rsidR="00CF5A3F">
        <w:rPr>
          <w:rFonts w:ascii="Calibri" w:eastAsia="Times New Roman" w:hAnsi="Calibri" w:cs="Calibri"/>
          <w:bCs/>
          <w:color w:val="000000"/>
          <w:lang w:eastAsia="es-SV"/>
        </w:rPr>
        <w:t>al momento de adquirir mercadería podemos  iniciar la venta del producto en las diferentes sucursales.</w:t>
      </w:r>
    </w:p>
    <w:p w:rsidR="00CF5A3F" w:rsidRDefault="00CF5A3F"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4347E0" w:rsidRDefault="00CF5A3F"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13, párrafo 13.1 (a</w:t>
      </w:r>
    </w:p>
    <w:p w:rsidR="007365C9" w:rsidRDefault="007365C9"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4, COMPRA AL CREDITO</w:t>
      </w:r>
    </w:p>
    <w:p w:rsidR="007365C9" w:rsidRDefault="007365C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Al comprar mercadería aumenta nuestro activo (Almacén de productos para la venta)  y al mismo tiempo aumenta una cuenta de pasivo (cuentas por pagar), incrementando así la mercadería para la venta.</w:t>
      </w:r>
    </w:p>
    <w:p w:rsidR="007365C9" w:rsidRDefault="007365C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7365C9" w:rsidRPr="007365C9" w:rsidRDefault="007365C9"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13, párrafo 13.1 (a</w:t>
      </w: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lastRenderedPageBreak/>
        <w:t>TRANSACCION 5, COMPRA  AL CREDITO Y AL CONTADO</w:t>
      </w:r>
    </w:p>
    <w:p w:rsidR="00A2412B" w:rsidRDefault="00A2412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En esta transacción se ven afectadas dos cuentas de activo, una que aumenta (almacén de productos para la venta) y otra que disminuye (efectivo); además se afecta una cuenta de pasivo (cuentas por pagar) la cual aumenta nuestras obligaciones.</w:t>
      </w:r>
    </w:p>
    <w:p w:rsidR="00A2412B" w:rsidRDefault="00A2412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A2412B" w:rsidRDefault="00A2412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17, párrafo 17.4</w:t>
      </w:r>
    </w:p>
    <w:p w:rsidR="00A2412B" w:rsidRPr="00A2412B" w:rsidRDefault="00A2412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 </w:t>
      </w: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6, VENTA AL CREDITO</w:t>
      </w:r>
    </w:p>
    <w:p w:rsidR="00A2412B" w:rsidRDefault="00A2412B"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Al</w:t>
      </w:r>
      <w:r w:rsidR="007102B8">
        <w:rPr>
          <w:rFonts w:ascii="Calibri" w:eastAsia="Times New Roman" w:hAnsi="Calibri" w:cs="Calibri"/>
          <w:bCs/>
          <w:color w:val="000000"/>
          <w:lang w:eastAsia="es-SV"/>
        </w:rPr>
        <w:t xml:space="preserve"> realizar esta transacción se ven afectadas cuentas de activo (almacén de productos para la venta)</w:t>
      </w:r>
      <w:r w:rsidR="00845E07">
        <w:rPr>
          <w:rFonts w:ascii="Calibri" w:eastAsia="Times New Roman" w:hAnsi="Calibri" w:cs="Calibri"/>
          <w:bCs/>
          <w:color w:val="000000"/>
          <w:lang w:eastAsia="es-SV"/>
        </w:rPr>
        <w:t xml:space="preserve"> (IVA crédito fiscal)</w:t>
      </w:r>
      <w:r w:rsidR="007102B8">
        <w:rPr>
          <w:rFonts w:ascii="Calibri" w:eastAsia="Times New Roman" w:hAnsi="Calibri" w:cs="Calibri"/>
          <w:bCs/>
          <w:color w:val="000000"/>
          <w:lang w:eastAsia="es-SV"/>
        </w:rPr>
        <w:t xml:space="preserve"> la</w:t>
      </w:r>
      <w:r w:rsidR="00845E07">
        <w:rPr>
          <w:rFonts w:ascii="Calibri" w:eastAsia="Times New Roman" w:hAnsi="Calibri" w:cs="Calibri"/>
          <w:bCs/>
          <w:color w:val="000000"/>
          <w:lang w:eastAsia="es-SV"/>
        </w:rPr>
        <w:t>s</w:t>
      </w:r>
      <w:r w:rsidR="007102B8">
        <w:rPr>
          <w:rFonts w:ascii="Calibri" w:eastAsia="Times New Roman" w:hAnsi="Calibri" w:cs="Calibri"/>
          <w:bCs/>
          <w:color w:val="000000"/>
          <w:lang w:eastAsia="es-SV"/>
        </w:rPr>
        <w:t xml:space="preserve"> </w:t>
      </w:r>
      <w:r w:rsidR="00845E07">
        <w:rPr>
          <w:rFonts w:ascii="Calibri" w:eastAsia="Times New Roman" w:hAnsi="Calibri" w:cs="Calibri"/>
          <w:bCs/>
          <w:color w:val="000000"/>
          <w:lang w:eastAsia="es-SV"/>
        </w:rPr>
        <w:t>cuales</w:t>
      </w:r>
      <w:r w:rsidR="007102B8">
        <w:rPr>
          <w:rFonts w:ascii="Calibri" w:eastAsia="Times New Roman" w:hAnsi="Calibri" w:cs="Calibri"/>
          <w:bCs/>
          <w:color w:val="000000"/>
          <w:lang w:eastAsia="es-SV"/>
        </w:rPr>
        <w:t xml:space="preserve"> disminuye</w:t>
      </w:r>
      <w:r w:rsidR="00845E07">
        <w:rPr>
          <w:rFonts w:ascii="Calibri" w:eastAsia="Times New Roman" w:hAnsi="Calibri" w:cs="Calibri"/>
          <w:bCs/>
          <w:color w:val="000000"/>
          <w:lang w:eastAsia="es-SV"/>
        </w:rPr>
        <w:t>n</w:t>
      </w:r>
      <w:r w:rsidR="007102B8">
        <w:rPr>
          <w:rFonts w:ascii="Calibri" w:eastAsia="Times New Roman" w:hAnsi="Calibri" w:cs="Calibri"/>
          <w:bCs/>
          <w:color w:val="000000"/>
          <w:lang w:eastAsia="es-SV"/>
        </w:rPr>
        <w:t xml:space="preserve"> al venderse  la mercadería, (cuentas por cobrar) esta aumenta ya que por la mercadería se otorga un crédito;  además se ven involucradas cuentas de </w:t>
      </w:r>
      <w:r w:rsidR="00845E07">
        <w:rPr>
          <w:rFonts w:ascii="Calibri" w:eastAsia="Times New Roman" w:hAnsi="Calibri" w:cs="Calibri"/>
          <w:bCs/>
          <w:color w:val="000000"/>
          <w:lang w:eastAsia="es-SV"/>
        </w:rPr>
        <w:t>resultado acreedoras (ventas), y cuentas de resultado deudoras (costo de ventas).</w:t>
      </w:r>
    </w:p>
    <w:p w:rsidR="00845E07" w:rsidRDefault="00845E07"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845E07" w:rsidRDefault="00845E07"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23, párrafo 23.1 (a</w:t>
      </w:r>
    </w:p>
    <w:p w:rsidR="00845E07" w:rsidRPr="00A2412B" w:rsidRDefault="00845E07"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7, DEVOLUCION DE MERCADERIA AL PROVEEDOR</w:t>
      </w:r>
    </w:p>
    <w:p w:rsidR="00845E07" w:rsidRDefault="00845E07"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Esta transacción  involucra dos cuentas de activos (almacén </w:t>
      </w:r>
      <w:r w:rsidR="008F5825">
        <w:rPr>
          <w:rFonts w:ascii="Calibri" w:eastAsia="Times New Roman" w:hAnsi="Calibri" w:cs="Calibri"/>
          <w:bCs/>
          <w:color w:val="000000"/>
          <w:lang w:eastAsia="es-SV"/>
        </w:rPr>
        <w:t>de productos para la venta) (IVA crédito fiscal) las cuales se ven afectadas de forma directa al momento de realizar una devolución a los proveedores;  y disminuyen el pasivo (cuentas por pagar) ya que al devolver mercadería la deuda disminuye.</w:t>
      </w:r>
    </w:p>
    <w:p w:rsidR="008F5825" w:rsidRPr="00845E07" w:rsidRDefault="008F5825"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8,</w:t>
      </w:r>
      <w:r>
        <w:rPr>
          <w:rFonts w:ascii="Calibri" w:eastAsia="Times New Roman" w:hAnsi="Calibri" w:cs="Calibri"/>
          <w:b/>
          <w:bCs/>
          <w:color w:val="000000"/>
          <w:lang w:eastAsia="es-SV"/>
        </w:rPr>
        <w:t xml:space="preserve"> </w:t>
      </w:r>
      <w:r w:rsidRPr="008F23A8">
        <w:rPr>
          <w:rFonts w:ascii="Calibri" w:eastAsia="Times New Roman" w:hAnsi="Calibri" w:cs="Calibri"/>
          <w:b/>
          <w:bCs/>
          <w:color w:val="000000"/>
          <w:lang w:eastAsia="es-SV"/>
        </w:rPr>
        <w:t>PAGO A ACREEDORES</w:t>
      </w:r>
    </w:p>
    <w:p w:rsidR="008F5825" w:rsidRDefault="008F5825"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En esta transacción los activos (efectivo) disminuye  ya que cancelamos una parte de la deuda tenida con los proveedores, a su vez la cuenta de pasivo (cuentas por pagar) también disminuyen.</w:t>
      </w:r>
    </w:p>
    <w:p w:rsidR="008F5825" w:rsidRDefault="008F5825"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8F5825" w:rsidRDefault="008F5825"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22, párrafo 22.5  (c</w:t>
      </w:r>
    </w:p>
    <w:p w:rsidR="008F5825" w:rsidRPr="008F5825" w:rsidRDefault="008F5825"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9, COBRO A CLIENTES</w:t>
      </w:r>
    </w:p>
    <w:p w:rsidR="008F5825" w:rsidRDefault="008F5825"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En la transacción</w:t>
      </w:r>
      <w:r w:rsidR="001929ED">
        <w:rPr>
          <w:rFonts w:ascii="Calibri" w:eastAsia="Times New Roman" w:hAnsi="Calibri" w:cs="Calibri"/>
          <w:bCs/>
          <w:color w:val="000000"/>
          <w:lang w:eastAsia="es-SV"/>
        </w:rPr>
        <w:t xml:space="preserve"> se ven afectadas dos cuentas de </w:t>
      </w:r>
      <w:r>
        <w:rPr>
          <w:rFonts w:ascii="Calibri" w:eastAsia="Times New Roman" w:hAnsi="Calibri" w:cs="Calibri"/>
          <w:bCs/>
          <w:color w:val="000000"/>
          <w:lang w:eastAsia="es-SV"/>
        </w:rPr>
        <w:t>activo (efectivo)</w:t>
      </w:r>
      <w:r w:rsidR="001929ED">
        <w:rPr>
          <w:rFonts w:ascii="Calibri" w:eastAsia="Times New Roman" w:hAnsi="Calibri" w:cs="Calibri"/>
          <w:bCs/>
          <w:color w:val="000000"/>
          <w:lang w:eastAsia="es-SV"/>
        </w:rPr>
        <w:t xml:space="preserve"> la cual </w:t>
      </w:r>
      <w:r>
        <w:rPr>
          <w:rFonts w:ascii="Calibri" w:eastAsia="Times New Roman" w:hAnsi="Calibri" w:cs="Calibri"/>
          <w:bCs/>
          <w:color w:val="000000"/>
          <w:lang w:eastAsia="es-SV"/>
        </w:rPr>
        <w:t xml:space="preserve">aumenta, ya que se recibe </w:t>
      </w:r>
      <w:r w:rsidR="001929ED">
        <w:rPr>
          <w:rFonts w:ascii="Calibri" w:eastAsia="Times New Roman" w:hAnsi="Calibri" w:cs="Calibri"/>
          <w:bCs/>
          <w:color w:val="000000"/>
          <w:lang w:eastAsia="es-SV"/>
        </w:rPr>
        <w:t>un pago por parte de los clientes; y (cuentas por cobrar) que disminuyen al momento del pago.</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23, párrafo 23.1 (a</w:t>
      </w:r>
    </w:p>
    <w:p w:rsidR="001929ED" w:rsidRPr="008F5825" w:rsidRDefault="001929ED"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sidRPr="008F23A8">
        <w:rPr>
          <w:rFonts w:ascii="Calibri" w:eastAsia="Times New Roman" w:hAnsi="Calibri" w:cs="Calibri"/>
          <w:b/>
          <w:bCs/>
          <w:color w:val="000000"/>
          <w:lang w:eastAsia="es-SV"/>
        </w:rPr>
        <w:t>TRANSACCION 10, VENTA DE TERRENOS.</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En esta transacción se ven afectadas dos cuentas de activo, (Efectivo) que aumenta con la venta del terreno y (propiedad, planta y equipo) la cual disminuye al venderse el terreno; además las cuentas de resultados acreedoras (otros ingresos) aumenta ya que el terreno fue vendido a un valor mayor al que estaba registrado en libros.</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 xml:space="preserve">Ref. </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 párrafo 2.25  (b</w:t>
      </w:r>
    </w:p>
    <w:p w:rsidR="001929ED" w:rsidRPr="001929ED" w:rsidRDefault="001929ED" w:rsidP="008F23A8">
      <w:pPr>
        <w:spacing w:after="0" w:line="240" w:lineRule="auto"/>
        <w:rPr>
          <w:rFonts w:ascii="Calibri" w:eastAsia="Times New Roman" w:hAnsi="Calibri" w:cs="Calibri"/>
          <w:bCs/>
          <w:color w:val="000000"/>
          <w:lang w:eastAsia="es-SV"/>
        </w:rPr>
      </w:pPr>
    </w:p>
    <w:p w:rsidR="008F23A8" w:rsidRDefault="008F23A8" w:rsidP="008F23A8">
      <w:pPr>
        <w:spacing w:after="0" w:line="240" w:lineRule="auto"/>
        <w:rPr>
          <w:rFonts w:ascii="Calibri" w:eastAsia="Times New Roman" w:hAnsi="Calibri" w:cs="Calibri"/>
          <w:b/>
          <w:bCs/>
          <w:color w:val="000000"/>
          <w:lang w:eastAsia="es-SV"/>
        </w:rPr>
      </w:pPr>
      <w:r>
        <w:rPr>
          <w:rFonts w:ascii="Calibri" w:eastAsia="Times New Roman" w:hAnsi="Calibri" w:cs="Calibri"/>
          <w:b/>
          <w:bCs/>
          <w:color w:val="000000"/>
          <w:lang w:eastAsia="es-SV"/>
        </w:rPr>
        <w:t>TRANSACCION 11</w:t>
      </w:r>
      <w:r w:rsidRPr="008F23A8">
        <w:rPr>
          <w:rFonts w:ascii="Calibri" w:eastAsia="Times New Roman" w:hAnsi="Calibri" w:cs="Calibri"/>
          <w:b/>
          <w:bCs/>
          <w:color w:val="000000"/>
          <w:lang w:eastAsia="es-SV"/>
        </w:rPr>
        <w:t>, PAGO DE SALARIOS</w:t>
      </w:r>
    </w:p>
    <w:p w:rsidR="001929ED" w:rsidRDefault="001929ED"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En la transacción</w:t>
      </w:r>
      <w:r w:rsidR="008B2C5A">
        <w:rPr>
          <w:rFonts w:ascii="Calibri" w:eastAsia="Times New Roman" w:hAnsi="Calibri" w:cs="Calibri"/>
          <w:bCs/>
          <w:color w:val="000000"/>
          <w:lang w:eastAsia="es-SV"/>
        </w:rPr>
        <w:t xml:space="preserve"> se ve</w:t>
      </w:r>
      <w:r>
        <w:rPr>
          <w:rFonts w:ascii="Calibri" w:eastAsia="Times New Roman" w:hAnsi="Calibri" w:cs="Calibri"/>
          <w:bCs/>
          <w:color w:val="000000"/>
          <w:lang w:eastAsia="es-SV"/>
        </w:rPr>
        <w:t xml:space="preserve"> afectada la cuenta de activo (efectivo) la cual disminuye al momento de cancelar los salarios de los trabajadores,</w:t>
      </w:r>
      <w:r w:rsidR="008B2C5A">
        <w:rPr>
          <w:rFonts w:ascii="Calibri" w:eastAsia="Times New Roman" w:hAnsi="Calibri" w:cs="Calibri"/>
          <w:bCs/>
          <w:color w:val="000000"/>
          <w:lang w:eastAsia="es-SV"/>
        </w:rPr>
        <w:t xml:space="preserve">  se ven afectados los pasivos (cuentas por pagar)los cuales aumentan las obligaciones de la empresa con diferentes entidades; a su vez se ven afectadas  las cuentas de resultados deudoras (gastos de ventas), (gastos de administración).</w:t>
      </w:r>
    </w:p>
    <w:p w:rsidR="008B2C5A" w:rsidRDefault="008B2C5A"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Ref.</w:t>
      </w:r>
    </w:p>
    <w:p w:rsidR="008B2C5A" w:rsidRPr="001929ED" w:rsidRDefault="008B2C5A" w:rsidP="008F23A8">
      <w:pPr>
        <w:spacing w:after="0" w:line="240" w:lineRule="auto"/>
        <w:rPr>
          <w:rFonts w:ascii="Calibri" w:eastAsia="Times New Roman" w:hAnsi="Calibri" w:cs="Calibri"/>
          <w:bCs/>
          <w:color w:val="000000"/>
          <w:lang w:eastAsia="es-SV"/>
        </w:rPr>
      </w:pPr>
      <w:r>
        <w:rPr>
          <w:rFonts w:ascii="Calibri" w:eastAsia="Times New Roman" w:hAnsi="Calibri" w:cs="Calibri"/>
          <w:bCs/>
          <w:color w:val="000000"/>
          <w:lang w:eastAsia="es-SV"/>
        </w:rPr>
        <w:t>Sección 28, párrafo 28.4 (a</w:t>
      </w:r>
    </w:p>
    <w:p w:rsidR="001111CB" w:rsidRDefault="001111CB"/>
    <w:sectPr w:rsidR="001111CB" w:rsidSect="001929ED">
      <w:pgSz w:w="12240" w:h="15840"/>
      <w:pgMar w:top="567" w:right="170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3A8"/>
    <w:rsid w:val="001111CB"/>
    <w:rsid w:val="001929ED"/>
    <w:rsid w:val="00314749"/>
    <w:rsid w:val="004347E0"/>
    <w:rsid w:val="00666D17"/>
    <w:rsid w:val="007102B8"/>
    <w:rsid w:val="007365C9"/>
    <w:rsid w:val="00802CAB"/>
    <w:rsid w:val="00845E07"/>
    <w:rsid w:val="008B2C5A"/>
    <w:rsid w:val="008F23A8"/>
    <w:rsid w:val="008F5825"/>
    <w:rsid w:val="00A2412B"/>
    <w:rsid w:val="00CF5A3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47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47E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47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347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53902">
      <w:bodyDiv w:val="1"/>
      <w:marLeft w:val="0"/>
      <w:marRight w:val="0"/>
      <w:marTop w:val="0"/>
      <w:marBottom w:val="0"/>
      <w:divBdr>
        <w:top w:val="none" w:sz="0" w:space="0" w:color="auto"/>
        <w:left w:val="none" w:sz="0" w:space="0" w:color="auto"/>
        <w:bottom w:val="none" w:sz="0" w:space="0" w:color="auto"/>
        <w:right w:val="none" w:sz="0" w:space="0" w:color="auto"/>
      </w:divBdr>
    </w:div>
    <w:div w:id="66847381">
      <w:bodyDiv w:val="1"/>
      <w:marLeft w:val="0"/>
      <w:marRight w:val="0"/>
      <w:marTop w:val="0"/>
      <w:marBottom w:val="0"/>
      <w:divBdr>
        <w:top w:val="none" w:sz="0" w:space="0" w:color="auto"/>
        <w:left w:val="none" w:sz="0" w:space="0" w:color="auto"/>
        <w:bottom w:val="none" w:sz="0" w:space="0" w:color="auto"/>
        <w:right w:val="none" w:sz="0" w:space="0" w:color="auto"/>
      </w:divBdr>
    </w:div>
    <w:div w:id="337119225">
      <w:bodyDiv w:val="1"/>
      <w:marLeft w:val="0"/>
      <w:marRight w:val="0"/>
      <w:marTop w:val="0"/>
      <w:marBottom w:val="0"/>
      <w:divBdr>
        <w:top w:val="none" w:sz="0" w:space="0" w:color="auto"/>
        <w:left w:val="none" w:sz="0" w:space="0" w:color="auto"/>
        <w:bottom w:val="none" w:sz="0" w:space="0" w:color="auto"/>
        <w:right w:val="none" w:sz="0" w:space="0" w:color="auto"/>
      </w:divBdr>
    </w:div>
    <w:div w:id="395595810">
      <w:bodyDiv w:val="1"/>
      <w:marLeft w:val="0"/>
      <w:marRight w:val="0"/>
      <w:marTop w:val="0"/>
      <w:marBottom w:val="0"/>
      <w:divBdr>
        <w:top w:val="none" w:sz="0" w:space="0" w:color="auto"/>
        <w:left w:val="none" w:sz="0" w:space="0" w:color="auto"/>
        <w:bottom w:val="none" w:sz="0" w:space="0" w:color="auto"/>
        <w:right w:val="none" w:sz="0" w:space="0" w:color="auto"/>
      </w:divBdr>
    </w:div>
    <w:div w:id="626276574">
      <w:bodyDiv w:val="1"/>
      <w:marLeft w:val="0"/>
      <w:marRight w:val="0"/>
      <w:marTop w:val="0"/>
      <w:marBottom w:val="0"/>
      <w:divBdr>
        <w:top w:val="none" w:sz="0" w:space="0" w:color="auto"/>
        <w:left w:val="none" w:sz="0" w:space="0" w:color="auto"/>
        <w:bottom w:val="none" w:sz="0" w:space="0" w:color="auto"/>
        <w:right w:val="none" w:sz="0" w:space="0" w:color="auto"/>
      </w:divBdr>
    </w:div>
    <w:div w:id="702440792">
      <w:bodyDiv w:val="1"/>
      <w:marLeft w:val="0"/>
      <w:marRight w:val="0"/>
      <w:marTop w:val="0"/>
      <w:marBottom w:val="0"/>
      <w:divBdr>
        <w:top w:val="none" w:sz="0" w:space="0" w:color="auto"/>
        <w:left w:val="none" w:sz="0" w:space="0" w:color="auto"/>
        <w:bottom w:val="none" w:sz="0" w:space="0" w:color="auto"/>
        <w:right w:val="none" w:sz="0" w:space="0" w:color="auto"/>
      </w:divBdr>
    </w:div>
    <w:div w:id="1389954124">
      <w:bodyDiv w:val="1"/>
      <w:marLeft w:val="0"/>
      <w:marRight w:val="0"/>
      <w:marTop w:val="0"/>
      <w:marBottom w:val="0"/>
      <w:divBdr>
        <w:top w:val="none" w:sz="0" w:space="0" w:color="auto"/>
        <w:left w:val="none" w:sz="0" w:space="0" w:color="auto"/>
        <w:bottom w:val="none" w:sz="0" w:space="0" w:color="auto"/>
        <w:right w:val="none" w:sz="0" w:space="0" w:color="auto"/>
      </w:divBdr>
    </w:div>
    <w:div w:id="1410812968">
      <w:bodyDiv w:val="1"/>
      <w:marLeft w:val="0"/>
      <w:marRight w:val="0"/>
      <w:marTop w:val="0"/>
      <w:marBottom w:val="0"/>
      <w:divBdr>
        <w:top w:val="none" w:sz="0" w:space="0" w:color="auto"/>
        <w:left w:val="none" w:sz="0" w:space="0" w:color="auto"/>
        <w:bottom w:val="none" w:sz="0" w:space="0" w:color="auto"/>
        <w:right w:val="none" w:sz="0" w:space="0" w:color="auto"/>
      </w:divBdr>
    </w:div>
    <w:div w:id="1514874571">
      <w:bodyDiv w:val="1"/>
      <w:marLeft w:val="0"/>
      <w:marRight w:val="0"/>
      <w:marTop w:val="0"/>
      <w:marBottom w:val="0"/>
      <w:divBdr>
        <w:top w:val="none" w:sz="0" w:space="0" w:color="auto"/>
        <w:left w:val="none" w:sz="0" w:space="0" w:color="auto"/>
        <w:bottom w:val="none" w:sz="0" w:space="0" w:color="auto"/>
        <w:right w:val="none" w:sz="0" w:space="0" w:color="auto"/>
      </w:divBdr>
    </w:div>
    <w:div w:id="1542131907">
      <w:bodyDiv w:val="1"/>
      <w:marLeft w:val="0"/>
      <w:marRight w:val="0"/>
      <w:marTop w:val="0"/>
      <w:marBottom w:val="0"/>
      <w:divBdr>
        <w:top w:val="none" w:sz="0" w:space="0" w:color="auto"/>
        <w:left w:val="none" w:sz="0" w:space="0" w:color="auto"/>
        <w:bottom w:val="none" w:sz="0" w:space="0" w:color="auto"/>
        <w:right w:val="none" w:sz="0" w:space="0" w:color="auto"/>
      </w:divBdr>
    </w:div>
    <w:div w:id="18624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567</Words>
  <Characters>3124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Steffany</dc:creator>
  <cp:lastModifiedBy>Steffany</cp:lastModifiedBy>
  <cp:revision>2</cp:revision>
  <dcterms:created xsi:type="dcterms:W3CDTF">2012-09-12T01:45:00Z</dcterms:created>
  <dcterms:modified xsi:type="dcterms:W3CDTF">2012-09-12T04:36:00Z</dcterms:modified>
</cp:coreProperties>
</file>