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46D" w:rsidRDefault="008F546D" w:rsidP="008F546D">
      <w:pPr>
        <w:pStyle w:val="Ttulo1"/>
      </w:pPr>
      <w:r>
        <w:t xml:space="preserve">Instrumentos de renta fija y Renta variable </w:t>
      </w:r>
    </w:p>
    <w:p w:rsidR="008F546D" w:rsidRPr="008F546D" w:rsidRDefault="008F546D" w:rsidP="008F546D">
      <w:bookmarkStart w:id="0" w:name="_GoBack"/>
      <w:bookmarkEnd w:id="0"/>
    </w:p>
    <w:p w:rsidR="008F546D" w:rsidRPr="008F546D" w:rsidRDefault="008F546D" w:rsidP="008F546D">
      <w:pPr>
        <w:rPr>
          <w:rFonts w:ascii="Times New Roman" w:hAnsi="Times New Roman" w:cs="Times New Roman"/>
          <w:b/>
          <w:color w:val="365F91" w:themeColor="accent1" w:themeShade="BF"/>
          <w:sz w:val="24"/>
          <w:szCs w:val="24"/>
        </w:rPr>
      </w:pPr>
      <w:r w:rsidRPr="008F546D">
        <w:rPr>
          <w:rFonts w:ascii="Times New Roman" w:hAnsi="Times New Roman" w:cs="Times New Roman"/>
          <w:b/>
          <w:bCs/>
          <w:color w:val="0D0D0D" w:themeColor="text1" w:themeTint="F2"/>
          <w:sz w:val="24"/>
          <w:szCs w:val="24"/>
        </w:rPr>
        <w:t>RENTA VARIABLE</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Los </w:t>
      </w:r>
      <w:r w:rsidRPr="008F546D">
        <w:rPr>
          <w:rFonts w:ascii="Times New Roman" w:hAnsi="Times New Roman" w:cs="Times New Roman"/>
          <w:b/>
          <w:bCs/>
          <w:color w:val="365F91" w:themeColor="accent1" w:themeShade="BF"/>
          <w:sz w:val="24"/>
          <w:szCs w:val="24"/>
        </w:rPr>
        <w:t>instrumentos de Renta Variable</w:t>
      </w:r>
      <w:r w:rsidRPr="008F546D">
        <w:rPr>
          <w:rFonts w:ascii="Times New Roman" w:hAnsi="Times New Roman" w:cs="Times New Roman"/>
          <w:b/>
          <w:color w:val="365F91" w:themeColor="accent1" w:themeShade="BF"/>
          <w:sz w:val="24"/>
          <w:szCs w:val="24"/>
        </w:rPr>
        <w:t> son especialmente aquellos que son parte de un </w:t>
      </w:r>
      <w:hyperlink r:id="rId6" w:tgtFrame="_blank" w:history="1">
        <w:r w:rsidRPr="008F546D">
          <w:rPr>
            <w:rStyle w:val="Hipervnculo"/>
            <w:rFonts w:ascii="Times New Roman" w:hAnsi="Times New Roman" w:cs="Times New Roman"/>
            <w:b/>
            <w:color w:val="365F91" w:themeColor="accent1" w:themeShade="BF"/>
            <w:sz w:val="24"/>
            <w:szCs w:val="24"/>
            <w:u w:val="none"/>
          </w:rPr>
          <w:t>capital</w:t>
        </w:r>
      </w:hyperlink>
      <w:r w:rsidRPr="008F546D">
        <w:rPr>
          <w:rFonts w:ascii="Times New Roman" w:hAnsi="Times New Roman" w:cs="Times New Roman"/>
          <w:b/>
          <w:color w:val="365F91" w:themeColor="accent1" w:themeShade="BF"/>
          <w:sz w:val="24"/>
          <w:szCs w:val="24"/>
        </w:rPr>
        <w:t>, como las </w:t>
      </w:r>
      <w:r w:rsidRPr="008F546D">
        <w:rPr>
          <w:rFonts w:ascii="Times New Roman" w:hAnsi="Times New Roman" w:cs="Times New Roman"/>
          <w:b/>
          <w:bCs/>
          <w:color w:val="365F91" w:themeColor="accent1" w:themeShade="BF"/>
          <w:sz w:val="24"/>
          <w:szCs w:val="24"/>
        </w:rPr>
        <w:t>acciones</w:t>
      </w:r>
      <w:r w:rsidRPr="008F546D">
        <w:rPr>
          <w:rFonts w:ascii="Times New Roman" w:hAnsi="Times New Roman" w:cs="Times New Roman"/>
          <w:b/>
          <w:color w:val="365F91" w:themeColor="accent1" w:themeShade="BF"/>
          <w:sz w:val="24"/>
          <w:szCs w:val="24"/>
        </w:rPr>
        <w:t> de las compañías anónimas.</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La denominación "</w:t>
      </w:r>
      <w:r w:rsidRPr="008F546D">
        <w:rPr>
          <w:rFonts w:ascii="Times New Roman" w:hAnsi="Times New Roman" w:cs="Times New Roman"/>
          <w:b/>
          <w:iCs/>
          <w:color w:val="365F91" w:themeColor="accent1" w:themeShade="BF"/>
          <w:sz w:val="24"/>
          <w:szCs w:val="24"/>
        </w:rPr>
        <w:t>variable</w:t>
      </w:r>
      <w:r w:rsidRPr="008F546D">
        <w:rPr>
          <w:rFonts w:ascii="Times New Roman" w:hAnsi="Times New Roman" w:cs="Times New Roman"/>
          <w:b/>
          <w:color w:val="365F91" w:themeColor="accent1" w:themeShade="BF"/>
          <w:sz w:val="24"/>
          <w:szCs w:val="24"/>
        </w:rPr>
        <w:t>" se relaciona con la variación que puede haber en los montos percibidos por concepto de dividendos. En tanto, los dividendos pueden ser en efectivo o en acciones.</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Por lo general, los instrumentos de renta variable reportan a sus tenedores ganancias o rendimiento en el largo plazo, a cambio de un mayor riesgo.</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Las acciones son representativas del capital de una empresa. Por tanto, los accionistas son copropietarios y por lo tanto solidarios con la responsabilidad de la compañía, ejerciendo su papel en las asambleas generales ordinarias y extraordinarias, que eligen a las autoridades y deciden sobre los cambios y expansión de actividades que les propone la junta directiva.</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En el </w:t>
      </w:r>
      <w:r w:rsidRPr="008F546D">
        <w:rPr>
          <w:rFonts w:ascii="Times New Roman" w:hAnsi="Times New Roman" w:cs="Times New Roman"/>
          <w:b/>
          <w:bCs/>
          <w:color w:val="365F91" w:themeColor="accent1" w:themeShade="BF"/>
          <w:sz w:val="24"/>
          <w:szCs w:val="24"/>
        </w:rPr>
        <w:t>mercado bursátil</w:t>
      </w:r>
      <w:r w:rsidRPr="008F546D">
        <w:rPr>
          <w:rFonts w:ascii="Times New Roman" w:hAnsi="Times New Roman" w:cs="Times New Roman"/>
          <w:b/>
          <w:color w:val="365F91" w:themeColor="accent1" w:themeShade="BF"/>
          <w:sz w:val="24"/>
          <w:szCs w:val="24"/>
        </w:rPr>
        <w:t>, los accionistas pueden resultar beneficiados o perjudicados. De este modo, si una empresa es conducida con eficiencia y esto es apreciado por el mercado, los accionistas recibirán mayores dividendos y el o los títulos que emita esa sociedad tenderán a aumentar de precio. Si, en cambio, el desempeño es erróneo, disminuirán los dividendos y la cotización de la acción de esa firma en La </w:t>
      </w:r>
      <w:hyperlink r:id="rId7" w:tgtFrame="_blank" w:history="1">
        <w:r w:rsidRPr="008F546D">
          <w:rPr>
            <w:rStyle w:val="Hipervnculo"/>
            <w:rFonts w:ascii="Times New Roman" w:hAnsi="Times New Roman" w:cs="Times New Roman"/>
            <w:b/>
            <w:color w:val="365F91" w:themeColor="accent1" w:themeShade="BF"/>
            <w:sz w:val="24"/>
            <w:szCs w:val="24"/>
            <w:u w:val="none"/>
          </w:rPr>
          <w:t>Bolsa</w:t>
        </w:r>
      </w:hyperlink>
      <w:r w:rsidRPr="008F546D">
        <w:rPr>
          <w:rFonts w:ascii="Times New Roman" w:hAnsi="Times New Roman" w:cs="Times New Roman"/>
          <w:b/>
          <w:color w:val="365F91" w:themeColor="accent1" w:themeShade="BF"/>
          <w:sz w:val="24"/>
          <w:szCs w:val="24"/>
        </w:rPr>
        <w:t>.</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0D0D0D" w:themeColor="text1" w:themeTint="F2"/>
          <w:sz w:val="24"/>
          <w:szCs w:val="24"/>
        </w:rPr>
        <w:br/>
      </w:r>
      <w:r w:rsidRPr="008F546D">
        <w:rPr>
          <w:rFonts w:ascii="Times New Roman" w:hAnsi="Times New Roman" w:cs="Times New Roman"/>
          <w:b/>
          <w:bCs/>
          <w:color w:val="0D0D0D" w:themeColor="text1" w:themeTint="F2"/>
          <w:sz w:val="24"/>
          <w:szCs w:val="24"/>
        </w:rPr>
        <w:t>RENTA FIJA</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Los </w:t>
      </w:r>
      <w:r w:rsidRPr="008F546D">
        <w:rPr>
          <w:rFonts w:ascii="Times New Roman" w:hAnsi="Times New Roman" w:cs="Times New Roman"/>
          <w:b/>
          <w:bCs/>
          <w:color w:val="365F91" w:themeColor="accent1" w:themeShade="BF"/>
          <w:sz w:val="24"/>
          <w:szCs w:val="24"/>
        </w:rPr>
        <w:t>instrumentos de inversión de renta fija</w:t>
      </w:r>
      <w:r w:rsidRPr="008F546D">
        <w:rPr>
          <w:rFonts w:ascii="Times New Roman" w:hAnsi="Times New Roman" w:cs="Times New Roman"/>
          <w:b/>
          <w:color w:val="365F91" w:themeColor="accent1" w:themeShade="BF"/>
          <w:sz w:val="24"/>
          <w:szCs w:val="24"/>
        </w:rPr>
        <w:t>, son emisiones de </w:t>
      </w:r>
      <w:hyperlink r:id="rId8" w:tgtFrame="_blank" w:history="1">
        <w:r w:rsidRPr="008F546D">
          <w:rPr>
            <w:rStyle w:val="Hipervnculo"/>
            <w:rFonts w:ascii="Times New Roman" w:hAnsi="Times New Roman" w:cs="Times New Roman"/>
            <w:b/>
            <w:color w:val="365F91" w:themeColor="accent1" w:themeShade="BF"/>
            <w:sz w:val="24"/>
            <w:szCs w:val="24"/>
            <w:u w:val="none"/>
          </w:rPr>
          <w:t>deuda</w:t>
        </w:r>
      </w:hyperlink>
      <w:r w:rsidRPr="008F546D">
        <w:rPr>
          <w:rFonts w:ascii="Times New Roman" w:hAnsi="Times New Roman" w:cs="Times New Roman"/>
          <w:b/>
          <w:color w:val="365F91" w:themeColor="accent1" w:themeShade="BF"/>
          <w:sz w:val="24"/>
          <w:szCs w:val="24"/>
        </w:rPr>
        <w:t> que realizan los </w:t>
      </w:r>
      <w:hyperlink r:id="rId9" w:tgtFrame="_blank" w:history="1">
        <w:r w:rsidRPr="008F546D">
          <w:rPr>
            <w:rStyle w:val="Hipervnculo"/>
            <w:rFonts w:ascii="Times New Roman" w:hAnsi="Times New Roman" w:cs="Times New Roman"/>
            <w:b/>
            <w:color w:val="365F91" w:themeColor="accent1" w:themeShade="BF"/>
            <w:sz w:val="24"/>
            <w:szCs w:val="24"/>
            <w:u w:val="none"/>
          </w:rPr>
          <w:t>estados</w:t>
        </w:r>
      </w:hyperlink>
      <w:r w:rsidRPr="008F546D">
        <w:rPr>
          <w:rFonts w:ascii="Times New Roman" w:hAnsi="Times New Roman" w:cs="Times New Roman"/>
          <w:b/>
          <w:color w:val="365F91" w:themeColor="accent1" w:themeShade="BF"/>
          <w:sz w:val="24"/>
          <w:szCs w:val="24"/>
        </w:rPr>
        <w:t> y las </w:t>
      </w:r>
      <w:hyperlink r:id="rId10" w:tgtFrame="_blank" w:history="1">
        <w:r w:rsidRPr="008F546D">
          <w:rPr>
            <w:rStyle w:val="Hipervnculo"/>
            <w:rFonts w:ascii="Times New Roman" w:hAnsi="Times New Roman" w:cs="Times New Roman"/>
            <w:b/>
            <w:color w:val="365F91" w:themeColor="accent1" w:themeShade="BF"/>
            <w:sz w:val="24"/>
            <w:szCs w:val="24"/>
            <w:u w:val="none"/>
          </w:rPr>
          <w:t>empresas</w:t>
        </w:r>
      </w:hyperlink>
      <w:r w:rsidRPr="008F546D">
        <w:rPr>
          <w:rFonts w:ascii="Times New Roman" w:hAnsi="Times New Roman" w:cs="Times New Roman"/>
          <w:b/>
          <w:color w:val="365F91" w:themeColor="accent1" w:themeShade="BF"/>
          <w:sz w:val="24"/>
          <w:szCs w:val="24"/>
        </w:rPr>
        <w:t xml:space="preserve"> dirigidos a un </w:t>
      </w:r>
      <w:proofErr w:type="spellStart"/>
      <w:r w:rsidRPr="008F546D">
        <w:rPr>
          <w:rFonts w:ascii="Times New Roman" w:hAnsi="Times New Roman" w:cs="Times New Roman"/>
          <w:b/>
          <w:color w:val="365F91" w:themeColor="accent1" w:themeShade="BF"/>
          <w:sz w:val="24"/>
          <w:szCs w:val="24"/>
        </w:rPr>
        <w:t>amplio</w:t>
      </w:r>
      <w:hyperlink r:id="rId11" w:tgtFrame="_blank" w:history="1">
        <w:r w:rsidRPr="008F546D">
          <w:rPr>
            <w:rStyle w:val="Hipervnculo"/>
            <w:rFonts w:ascii="Times New Roman" w:hAnsi="Times New Roman" w:cs="Times New Roman"/>
            <w:b/>
            <w:color w:val="365F91" w:themeColor="accent1" w:themeShade="BF"/>
            <w:sz w:val="24"/>
            <w:szCs w:val="24"/>
            <w:u w:val="none"/>
          </w:rPr>
          <w:t>mercado</w:t>
        </w:r>
        <w:proofErr w:type="spellEnd"/>
      </w:hyperlink>
      <w:r w:rsidRPr="008F546D">
        <w:rPr>
          <w:rFonts w:ascii="Times New Roman" w:hAnsi="Times New Roman" w:cs="Times New Roman"/>
          <w:b/>
          <w:color w:val="365F91" w:themeColor="accent1" w:themeShade="BF"/>
          <w:sz w:val="24"/>
          <w:szCs w:val="24"/>
        </w:rPr>
        <w:t>. Generalmente son emitidos por los gobiernos y entes corporativos de gran capacidad financiera en cantidades definidas que conllevan una fecha de expiración.</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La renta fija funciona exactamente igual que un </w:t>
      </w:r>
      <w:hyperlink r:id="rId12" w:tgtFrame="_blank" w:history="1">
        <w:r w:rsidRPr="008F546D">
          <w:rPr>
            <w:rStyle w:val="Hipervnculo"/>
            <w:rFonts w:ascii="Times New Roman" w:hAnsi="Times New Roman" w:cs="Times New Roman"/>
            <w:b/>
            <w:color w:val="365F91" w:themeColor="accent1" w:themeShade="BF"/>
            <w:sz w:val="24"/>
            <w:szCs w:val="24"/>
            <w:u w:val="none"/>
          </w:rPr>
          <w:t>préstamo</w:t>
        </w:r>
      </w:hyperlink>
      <w:r w:rsidRPr="008F546D">
        <w:rPr>
          <w:rFonts w:ascii="Times New Roman" w:hAnsi="Times New Roman" w:cs="Times New Roman"/>
          <w:b/>
          <w:color w:val="365F91" w:themeColor="accent1" w:themeShade="BF"/>
          <w:sz w:val="24"/>
          <w:szCs w:val="24"/>
        </w:rPr>
        <w:t> bancario, pero tiene algunas particularidades:</w:t>
      </w:r>
    </w:p>
    <w:p w:rsidR="008F546D" w:rsidRPr="008F546D" w:rsidRDefault="008F546D" w:rsidP="008F546D">
      <w:pPr>
        <w:numPr>
          <w:ilvl w:val="0"/>
          <w:numId w:val="1"/>
        </w:numPr>
        <w:rPr>
          <w:rFonts w:ascii="Times New Roman" w:hAnsi="Times New Roman" w:cs="Times New Roman"/>
          <w:b/>
          <w:color w:val="365F91" w:themeColor="accent1" w:themeShade="BF"/>
          <w:sz w:val="24"/>
          <w:szCs w:val="24"/>
        </w:rPr>
      </w:pPr>
      <w:r w:rsidRPr="008F546D">
        <w:rPr>
          <w:rFonts w:ascii="Times New Roman" w:hAnsi="Times New Roman" w:cs="Times New Roman"/>
          <w:b/>
          <w:color w:val="365F91" w:themeColor="accent1" w:themeShade="BF"/>
          <w:sz w:val="24"/>
          <w:szCs w:val="24"/>
        </w:rPr>
        <w:t>Los prestamistas son una gran cantidad de inversores, que se denominan </w:t>
      </w:r>
      <w:r w:rsidRPr="008F546D">
        <w:rPr>
          <w:rFonts w:ascii="Times New Roman" w:hAnsi="Times New Roman" w:cs="Times New Roman"/>
          <w:b/>
          <w:iCs/>
          <w:color w:val="365F91" w:themeColor="accent1" w:themeShade="BF"/>
          <w:sz w:val="24"/>
          <w:szCs w:val="24"/>
        </w:rPr>
        <w:t>obligacionistas</w:t>
      </w:r>
      <w:r w:rsidRPr="008F546D">
        <w:rPr>
          <w:rFonts w:ascii="Times New Roman" w:hAnsi="Times New Roman" w:cs="Times New Roman"/>
          <w:b/>
          <w:color w:val="365F91" w:themeColor="accent1" w:themeShade="BF"/>
          <w:sz w:val="24"/>
          <w:szCs w:val="24"/>
        </w:rPr>
        <w:t>.</w:t>
      </w:r>
    </w:p>
    <w:p w:rsidR="008F546D" w:rsidRPr="008F546D" w:rsidRDefault="008F546D" w:rsidP="008F546D">
      <w:pPr>
        <w:numPr>
          <w:ilvl w:val="0"/>
          <w:numId w:val="1"/>
        </w:numPr>
        <w:rPr>
          <w:rFonts w:ascii="Times New Roman" w:hAnsi="Times New Roman" w:cs="Times New Roman"/>
          <w:b/>
          <w:color w:val="365F91" w:themeColor="accent1" w:themeShade="BF"/>
          <w:sz w:val="24"/>
          <w:szCs w:val="24"/>
        </w:rPr>
      </w:pPr>
      <w:r w:rsidRPr="008F546D">
        <w:rPr>
          <w:rFonts w:ascii="Times New Roman" w:hAnsi="Times New Roman" w:cs="Times New Roman"/>
          <w:b/>
          <w:color w:val="365F91" w:themeColor="accent1" w:themeShade="BF"/>
          <w:sz w:val="24"/>
          <w:szCs w:val="24"/>
        </w:rPr>
        <w:lastRenderedPageBreak/>
        <w:t>La deuda se representa mediante </w:t>
      </w:r>
      <w:hyperlink r:id="rId13" w:tgtFrame="_blank" w:history="1">
        <w:r w:rsidRPr="008F546D">
          <w:rPr>
            <w:rStyle w:val="Hipervnculo"/>
            <w:rFonts w:ascii="Times New Roman" w:hAnsi="Times New Roman" w:cs="Times New Roman"/>
            <w:b/>
            <w:color w:val="365F91" w:themeColor="accent1" w:themeShade="BF"/>
            <w:sz w:val="24"/>
            <w:szCs w:val="24"/>
            <w:u w:val="none"/>
          </w:rPr>
          <w:t>títulos valores</w:t>
        </w:r>
      </w:hyperlink>
      <w:r w:rsidRPr="008F546D">
        <w:rPr>
          <w:rFonts w:ascii="Times New Roman" w:hAnsi="Times New Roman" w:cs="Times New Roman"/>
          <w:b/>
          <w:color w:val="365F91" w:themeColor="accent1" w:themeShade="BF"/>
          <w:sz w:val="24"/>
          <w:szCs w:val="24"/>
        </w:rPr>
        <w:t> negociables en el </w:t>
      </w:r>
      <w:hyperlink r:id="rId14" w:tgtFrame="_blank" w:history="1">
        <w:r w:rsidRPr="008F546D">
          <w:rPr>
            <w:rStyle w:val="Hipervnculo"/>
            <w:rFonts w:ascii="Times New Roman" w:hAnsi="Times New Roman" w:cs="Times New Roman"/>
            <w:b/>
            <w:color w:val="365F91" w:themeColor="accent1" w:themeShade="BF"/>
            <w:sz w:val="24"/>
            <w:szCs w:val="24"/>
            <w:u w:val="none"/>
          </w:rPr>
          <w:t>mercado de valores</w:t>
        </w:r>
      </w:hyperlink>
      <w:r w:rsidRPr="008F546D">
        <w:rPr>
          <w:rFonts w:ascii="Times New Roman" w:hAnsi="Times New Roman" w:cs="Times New Roman"/>
          <w:b/>
          <w:color w:val="365F91" w:themeColor="accent1" w:themeShade="BF"/>
          <w:sz w:val="24"/>
          <w:szCs w:val="24"/>
        </w:rPr>
        <w:t>, por lo que el inversor puede acudir al mercado vender su participación para recuperar su inversión rápidamente.</w:t>
      </w:r>
    </w:p>
    <w:p w:rsidR="008F546D" w:rsidRPr="008F546D" w:rsidRDefault="008F546D" w:rsidP="008F546D">
      <w:pPr>
        <w:rPr>
          <w:rFonts w:ascii="Times New Roman" w:hAnsi="Times New Roman" w:cs="Times New Roman"/>
          <w:b/>
          <w:color w:val="365F91" w:themeColor="accent1" w:themeShade="BF"/>
          <w:sz w:val="24"/>
          <w:szCs w:val="24"/>
        </w:rPr>
      </w:pPr>
      <w:r w:rsidRPr="008F546D">
        <w:rPr>
          <w:rFonts w:ascii="Times New Roman" w:hAnsi="Times New Roman" w:cs="Times New Roman"/>
          <w:b/>
          <w:color w:val="365F91" w:themeColor="accent1" w:themeShade="BF"/>
          <w:sz w:val="24"/>
          <w:szCs w:val="24"/>
        </w:rPr>
        <w:t>A cambio de prestar su capital, los </w:t>
      </w:r>
      <w:hyperlink r:id="rId15" w:tgtFrame="_blank" w:history="1">
        <w:r w:rsidRPr="008F546D">
          <w:rPr>
            <w:rStyle w:val="Hipervnculo"/>
            <w:rFonts w:ascii="Times New Roman" w:hAnsi="Times New Roman" w:cs="Times New Roman"/>
            <w:b/>
            <w:color w:val="365F91" w:themeColor="accent1" w:themeShade="BF"/>
            <w:sz w:val="24"/>
            <w:szCs w:val="24"/>
            <w:u w:val="none"/>
          </w:rPr>
          <w:t>inversores</w:t>
        </w:r>
      </w:hyperlink>
      <w:r w:rsidRPr="008F546D">
        <w:rPr>
          <w:rFonts w:ascii="Times New Roman" w:hAnsi="Times New Roman" w:cs="Times New Roman"/>
          <w:b/>
          <w:color w:val="365F91" w:themeColor="accent1" w:themeShade="BF"/>
          <w:sz w:val="24"/>
          <w:szCs w:val="24"/>
        </w:rPr>
        <w:t> reciben un </w:t>
      </w:r>
      <w:hyperlink r:id="rId16" w:tgtFrame="_blank" w:history="1">
        <w:r w:rsidRPr="008F546D">
          <w:rPr>
            <w:rStyle w:val="Hipervnculo"/>
            <w:rFonts w:ascii="Times New Roman" w:hAnsi="Times New Roman" w:cs="Times New Roman"/>
            <w:b/>
            <w:color w:val="365F91" w:themeColor="accent1" w:themeShade="BF"/>
            <w:sz w:val="24"/>
            <w:szCs w:val="24"/>
            <w:u w:val="none"/>
          </w:rPr>
          <w:t>interés</w:t>
        </w:r>
      </w:hyperlink>
      <w:r w:rsidRPr="008F546D">
        <w:rPr>
          <w:rFonts w:ascii="Times New Roman" w:hAnsi="Times New Roman" w:cs="Times New Roman"/>
          <w:b/>
          <w:color w:val="365F91" w:themeColor="accent1" w:themeShade="BF"/>
          <w:sz w:val="24"/>
          <w:szCs w:val="24"/>
        </w:rPr>
        <w:t> cada determinado tiempo, aunque de hecho es más complicada la determinación de la tasa de ganancia de este tipo de instrumentos dado que se requiere calcular mediante fórmulas matemáticas y financieras que se refieren a la compra de dichos instrumentos mediante un descuento que ofrece el mercado. Una vez hecha la adquisición de dichos instrumentos con descuento, el instrumento se podrá ofrecer a un precio más elevado.</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bCs/>
          <w:color w:val="0D0D0D" w:themeColor="text1" w:themeTint="F2"/>
          <w:sz w:val="24"/>
          <w:szCs w:val="24"/>
        </w:rPr>
        <w:t>Riesgo de la renta fija</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El término </w:t>
      </w:r>
      <w:r w:rsidRPr="008F546D">
        <w:rPr>
          <w:rFonts w:ascii="Times New Roman" w:hAnsi="Times New Roman" w:cs="Times New Roman"/>
          <w:b/>
          <w:iCs/>
          <w:color w:val="365F91" w:themeColor="accent1" w:themeShade="BF"/>
          <w:sz w:val="24"/>
          <w:szCs w:val="24"/>
        </w:rPr>
        <w:t>fija</w:t>
      </w:r>
      <w:r w:rsidRPr="008F546D">
        <w:rPr>
          <w:rFonts w:ascii="Times New Roman" w:hAnsi="Times New Roman" w:cs="Times New Roman"/>
          <w:b/>
          <w:color w:val="365F91" w:themeColor="accent1" w:themeShade="BF"/>
          <w:sz w:val="24"/>
          <w:szCs w:val="24"/>
        </w:rPr>
        <w:t>, se refiere a la renta y no al precio, que está sujeto a las oscilaciones del mercado aunque no tan pronunciadas como sucede con las acciones. La variación en los </w:t>
      </w:r>
      <w:hyperlink r:id="rId17" w:tgtFrame="_blank" w:history="1">
        <w:r w:rsidRPr="008F546D">
          <w:rPr>
            <w:rStyle w:val="Hipervnculo"/>
            <w:rFonts w:ascii="Times New Roman" w:hAnsi="Times New Roman" w:cs="Times New Roman"/>
            <w:b/>
            <w:color w:val="365F91" w:themeColor="accent1" w:themeShade="BF"/>
            <w:sz w:val="24"/>
            <w:szCs w:val="24"/>
            <w:u w:val="none"/>
          </w:rPr>
          <w:t>tipos de interés</w:t>
        </w:r>
      </w:hyperlink>
      <w:r w:rsidRPr="008F546D">
        <w:rPr>
          <w:rFonts w:ascii="Times New Roman" w:hAnsi="Times New Roman" w:cs="Times New Roman"/>
          <w:b/>
          <w:color w:val="365F91" w:themeColor="accent1" w:themeShade="BF"/>
          <w:sz w:val="24"/>
          <w:szCs w:val="24"/>
        </w:rPr>
        <w:t> y en el riesgo creditico de las empresas (</w:t>
      </w:r>
      <w:r w:rsidRPr="008F546D">
        <w:rPr>
          <w:rFonts w:ascii="Times New Roman" w:hAnsi="Times New Roman" w:cs="Times New Roman"/>
          <w:b/>
          <w:iCs/>
          <w:color w:val="365F91" w:themeColor="accent1" w:themeShade="BF"/>
          <w:sz w:val="24"/>
          <w:szCs w:val="24"/>
        </w:rPr>
        <w:t>rating</w:t>
      </w:r>
      <w:r w:rsidRPr="008F546D">
        <w:rPr>
          <w:rFonts w:ascii="Times New Roman" w:hAnsi="Times New Roman" w:cs="Times New Roman"/>
          <w:b/>
          <w:color w:val="365F91" w:themeColor="accent1" w:themeShade="BF"/>
          <w:sz w:val="24"/>
          <w:szCs w:val="24"/>
        </w:rPr>
        <w:t>) provoca oscilaciones en el valor de las obligaciones.</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 xml:space="preserve">La característica fundamental de este tipo de valores es que se conceden como una deuda de las instituciones hacia </w:t>
      </w:r>
      <w:proofErr w:type="gramStart"/>
      <w:r w:rsidRPr="008F546D">
        <w:rPr>
          <w:rFonts w:ascii="Times New Roman" w:hAnsi="Times New Roman" w:cs="Times New Roman"/>
          <w:b/>
          <w:color w:val="365F91" w:themeColor="accent1" w:themeShade="BF"/>
          <w:sz w:val="24"/>
          <w:szCs w:val="24"/>
        </w:rPr>
        <w:t>los</w:t>
      </w:r>
      <w:proofErr w:type="gramEnd"/>
      <w:r w:rsidRPr="008F546D">
        <w:rPr>
          <w:rFonts w:ascii="Times New Roman" w:hAnsi="Times New Roman" w:cs="Times New Roman"/>
          <w:b/>
          <w:color w:val="365F91" w:themeColor="accent1" w:themeShade="BF"/>
          <w:sz w:val="24"/>
          <w:szCs w:val="24"/>
        </w:rPr>
        <w:t xml:space="preserve"> inversiones, es decir, que tienen un fuerte respaldo financiero para quien los adquiere. Aunque el riesgo de oscilación del precio existe, el inversor puede optar por mantener la deuda hasta su vencimiento, recibiendo la </w:t>
      </w:r>
      <w:hyperlink r:id="rId18" w:tgtFrame="_blank" w:history="1">
        <w:r w:rsidRPr="008F546D">
          <w:rPr>
            <w:rStyle w:val="Hipervnculo"/>
            <w:rFonts w:ascii="Times New Roman" w:hAnsi="Times New Roman" w:cs="Times New Roman"/>
            <w:b/>
            <w:color w:val="365F91" w:themeColor="accent1" w:themeShade="BF"/>
            <w:sz w:val="24"/>
            <w:szCs w:val="24"/>
            <w:u w:val="none"/>
          </w:rPr>
          <w:t>rentabilidad</w:t>
        </w:r>
      </w:hyperlink>
      <w:r w:rsidRPr="008F546D">
        <w:rPr>
          <w:rFonts w:ascii="Times New Roman" w:hAnsi="Times New Roman" w:cs="Times New Roman"/>
          <w:b/>
          <w:color w:val="365F91" w:themeColor="accent1" w:themeShade="BF"/>
          <w:sz w:val="24"/>
          <w:szCs w:val="24"/>
        </w:rPr>
        <w:t> acordada en la emisión.</w:t>
      </w:r>
      <w:r w:rsidRPr="008F546D">
        <w:rPr>
          <w:rFonts w:ascii="Times New Roman" w:hAnsi="Times New Roman" w:cs="Times New Roman"/>
          <w:b/>
          <w:color w:val="365F91" w:themeColor="accent1" w:themeShade="BF"/>
          <w:sz w:val="24"/>
          <w:szCs w:val="24"/>
        </w:rPr>
        <w:br/>
      </w:r>
      <w:r w:rsidRPr="008F546D">
        <w:rPr>
          <w:rFonts w:ascii="Times New Roman" w:hAnsi="Times New Roman" w:cs="Times New Roman"/>
          <w:b/>
          <w:color w:val="365F91" w:themeColor="accent1" w:themeShade="BF"/>
          <w:sz w:val="24"/>
          <w:szCs w:val="24"/>
        </w:rPr>
        <w:br/>
        <w:t>En el caso de un gobierno, su respaldo se encuentra en sus ingresos en impuestos, las reservas de metales (monetizadas o no) y por la cantidad de divisas que tiene en sus reservas. En el caso de los corporativos son las tesorerías las que contienen flujos monetarios fuertes para respaldar sus valores.</w:t>
      </w:r>
    </w:p>
    <w:p w:rsidR="00DB3CB7" w:rsidRPr="008F546D" w:rsidRDefault="00DB3CB7">
      <w:pPr>
        <w:rPr>
          <w:rFonts w:ascii="Times New Roman" w:hAnsi="Times New Roman" w:cs="Times New Roman"/>
          <w:b/>
          <w:color w:val="365F91" w:themeColor="accent1" w:themeShade="BF"/>
          <w:sz w:val="24"/>
          <w:szCs w:val="24"/>
        </w:rPr>
      </w:pPr>
    </w:p>
    <w:sectPr w:rsidR="00DB3CB7" w:rsidRPr="008F546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61A39"/>
    <w:multiLevelType w:val="multilevel"/>
    <w:tmpl w:val="6F78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46D"/>
    <w:rsid w:val="00111B06"/>
    <w:rsid w:val="00695453"/>
    <w:rsid w:val="008F546D"/>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F54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546D"/>
    <w:rPr>
      <w:color w:val="0000FF" w:themeColor="hyperlink"/>
      <w:u w:val="single"/>
    </w:rPr>
  </w:style>
  <w:style w:type="character" w:customStyle="1" w:styleId="Ttulo1Car">
    <w:name w:val="Título 1 Car"/>
    <w:basedOn w:val="Fuentedeprrafopredeter"/>
    <w:link w:val="Ttulo1"/>
    <w:uiPriority w:val="9"/>
    <w:rsid w:val="008F546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F54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546D"/>
    <w:rPr>
      <w:color w:val="0000FF" w:themeColor="hyperlink"/>
      <w:u w:val="single"/>
    </w:rPr>
  </w:style>
  <w:style w:type="character" w:customStyle="1" w:styleId="Ttulo1Car">
    <w:name w:val="Título 1 Car"/>
    <w:basedOn w:val="Fuentedeprrafopredeter"/>
    <w:link w:val="Ttulo1"/>
    <w:uiPriority w:val="9"/>
    <w:rsid w:val="008F546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045697">
      <w:bodyDiv w:val="1"/>
      <w:marLeft w:val="0"/>
      <w:marRight w:val="0"/>
      <w:marTop w:val="0"/>
      <w:marBottom w:val="0"/>
      <w:divBdr>
        <w:top w:val="none" w:sz="0" w:space="0" w:color="auto"/>
        <w:left w:val="none" w:sz="0" w:space="0" w:color="auto"/>
        <w:bottom w:val="none" w:sz="0" w:space="0" w:color="auto"/>
        <w:right w:val="none" w:sz="0" w:space="0" w:color="auto"/>
      </w:divBdr>
      <w:divsChild>
        <w:div w:id="2004701840">
          <w:marLeft w:val="0"/>
          <w:marRight w:val="0"/>
          <w:marTop w:val="0"/>
          <w:marBottom w:val="0"/>
          <w:divBdr>
            <w:top w:val="none" w:sz="0" w:space="0" w:color="auto"/>
            <w:left w:val="none" w:sz="0" w:space="0" w:color="auto"/>
            <w:bottom w:val="none" w:sz="0" w:space="0" w:color="auto"/>
            <w:right w:val="none" w:sz="0" w:space="0" w:color="auto"/>
          </w:divBdr>
          <w:divsChild>
            <w:div w:id="8503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Deuda" TargetMode="External"/><Relationship Id="rId13" Type="http://schemas.openxmlformats.org/officeDocument/2006/relationships/hyperlink" Target="http://es.wikipedia.org/wiki/T%C3%ADtulo_valor" TargetMode="External"/><Relationship Id="rId18" Type="http://schemas.openxmlformats.org/officeDocument/2006/relationships/hyperlink" Target="http://es.wikipedia.org/wiki/Rentabilidad" TargetMode="External"/><Relationship Id="rId3" Type="http://schemas.microsoft.com/office/2007/relationships/stylesWithEffects" Target="stylesWithEffects.xml"/><Relationship Id="rId7" Type="http://schemas.openxmlformats.org/officeDocument/2006/relationships/hyperlink" Target="http://es.wikipedia.org/wiki/Bolsa" TargetMode="External"/><Relationship Id="rId12" Type="http://schemas.openxmlformats.org/officeDocument/2006/relationships/hyperlink" Target="http://es.wikipedia.org/wiki/Mutuo" TargetMode="External"/><Relationship Id="rId17" Type="http://schemas.openxmlformats.org/officeDocument/2006/relationships/hyperlink" Target="http://es.wikipedia.org/wiki/Tipo_de_inter%C3%A9s" TargetMode="External"/><Relationship Id="rId2" Type="http://schemas.openxmlformats.org/officeDocument/2006/relationships/styles" Target="styles.xml"/><Relationship Id="rId16" Type="http://schemas.openxmlformats.org/officeDocument/2006/relationships/hyperlink" Target="http://es.wikipedia.org/wiki/Inter%C3%A9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s.wikipedia.org/wiki/Capital" TargetMode="External"/><Relationship Id="rId11" Type="http://schemas.openxmlformats.org/officeDocument/2006/relationships/hyperlink" Target="http://es.wikipedia.org/wiki/Mercado" TargetMode="External"/><Relationship Id="rId5" Type="http://schemas.openxmlformats.org/officeDocument/2006/relationships/webSettings" Target="webSettings.xml"/><Relationship Id="rId15" Type="http://schemas.openxmlformats.org/officeDocument/2006/relationships/hyperlink" Target="http://es.wikipedia.org/wiki/Inversor" TargetMode="External"/><Relationship Id="rId10" Type="http://schemas.openxmlformats.org/officeDocument/2006/relationships/hyperlink" Target="http://es.wikipedia.org/wiki/Empres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wikipedia.org/wiki/Estado" TargetMode="External"/><Relationship Id="rId14" Type="http://schemas.openxmlformats.org/officeDocument/2006/relationships/hyperlink" Target="http://es.wikipedia.org/wiki/Bolsa_de_valor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678</Words>
  <Characters>3730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2012-12-14T19:12:00Z</dcterms:created>
  <dcterms:modified xsi:type="dcterms:W3CDTF">2012-12-14T19:15:00Z</dcterms:modified>
</cp:coreProperties>
</file>