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C5C" w:rsidRDefault="00B81C5C" w:rsidP="00B81C5C">
      <w:pPr>
        <w:pStyle w:val="Ttulo1"/>
        <w:jc w:val="center"/>
      </w:pPr>
      <w:r w:rsidRPr="00B81C5C">
        <w:t>Caso Enron</w:t>
      </w:r>
    </w:p>
    <w:p w:rsidR="00B81C5C" w:rsidRPr="00B81C5C" w:rsidRDefault="00B81C5C" w:rsidP="00B81C5C">
      <w:bookmarkStart w:id="0" w:name="_GoBack"/>
      <w:bookmarkEnd w:id="0"/>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La </w:t>
      </w:r>
      <w:hyperlink r:id="rId6" w:tgtFrame="_blank" w:history="1">
        <w:r w:rsidRPr="00B81C5C">
          <w:rPr>
            <w:rStyle w:val="Hipervnculo"/>
            <w:rFonts w:asciiTheme="majorHAnsi" w:hAnsiTheme="majorHAnsi"/>
            <w:i/>
            <w:color w:val="000000" w:themeColor="text1"/>
            <w:u w:val="none"/>
          </w:rPr>
          <w:t>BBC</w:t>
        </w:r>
      </w:hyperlink>
      <w:r w:rsidRPr="00B81C5C">
        <w:rPr>
          <w:rFonts w:asciiTheme="majorHAnsi" w:hAnsiTheme="majorHAnsi"/>
          <w:i/>
          <w:color w:val="000000" w:themeColor="text1"/>
        </w:rPr>
        <w:t> recrea la historia de Enron de una forma que todos la podemos entender. Los antecedentes y consecuencias de este escándalo son muy importantes para que los Contadores, Gerentes y Auditores sepan lo que deben hacer en momentos de crisis y no vayan a pecar.</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¿Qué clase de empresa era Enron?</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Enron inició su vida como productora de energía en 1985, pasando poco después a ser comercializadora de energía. Terminó siendo un “banco de energía” que suministraba cantidades garantizadas a precios fijos en el largo plazo.</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Enron era dueña de plantas generadoras de energía, distribuidoras de gas y otras unidades involucradas en el suministro de servicios a consumidores y empresas. También fue pionera en la compra y venta de energía como si fueran acciones o bonos.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Se convirtió en un gran intermediario en el mercado energético, tomando enormes riesgos financieros. En 15 años llegó a ser la séptima mayor empresa de Estados Unidos, empleando a 21.000 personas en más de 40 países.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 xml:space="preserve">La revista </w:t>
      </w:r>
      <w:proofErr w:type="spellStart"/>
      <w:r w:rsidRPr="00B81C5C">
        <w:rPr>
          <w:rFonts w:asciiTheme="majorHAnsi" w:hAnsiTheme="majorHAnsi"/>
          <w:i/>
          <w:color w:val="000000" w:themeColor="text1"/>
        </w:rPr>
        <w:t>Fortune</w:t>
      </w:r>
      <w:proofErr w:type="spellEnd"/>
      <w:r w:rsidRPr="00B81C5C">
        <w:rPr>
          <w:rFonts w:asciiTheme="majorHAnsi" w:hAnsiTheme="majorHAnsi"/>
          <w:i/>
          <w:color w:val="000000" w:themeColor="text1"/>
        </w:rPr>
        <w:t xml:space="preserve"> nombró a Enron la “compañía más innovadora” de Estados Unidos por seis años consecutivos, entre 1996 y 2001.</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¿Qué provocó su colapso?</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 xml:space="preserve">Cuando la empresa informó acerca de los resultados del tercer trimestre de 2001, en Octubre de ese año, reveló un agujero negro que deprimió el precio de sus acciones. La agencia reguladora del sector financiero estadounidense, la </w:t>
      </w:r>
      <w:proofErr w:type="spellStart"/>
      <w:r w:rsidRPr="00B81C5C">
        <w:rPr>
          <w:rFonts w:asciiTheme="majorHAnsi" w:hAnsiTheme="majorHAnsi"/>
          <w:i/>
          <w:color w:val="000000" w:themeColor="text1"/>
        </w:rPr>
        <w:t>Securities</w:t>
      </w:r>
      <w:proofErr w:type="spellEnd"/>
      <w:r w:rsidRPr="00B81C5C">
        <w:rPr>
          <w:rFonts w:asciiTheme="majorHAnsi" w:hAnsiTheme="majorHAnsi"/>
          <w:i/>
          <w:color w:val="000000" w:themeColor="text1"/>
        </w:rPr>
        <w:t xml:space="preserve"> Exchange </w:t>
      </w:r>
      <w:proofErr w:type="spellStart"/>
      <w:r w:rsidRPr="00B81C5C">
        <w:rPr>
          <w:rFonts w:asciiTheme="majorHAnsi" w:hAnsiTheme="majorHAnsi"/>
          <w:i/>
          <w:color w:val="000000" w:themeColor="text1"/>
        </w:rPr>
        <w:t>Commission</w:t>
      </w:r>
      <w:proofErr w:type="spellEnd"/>
      <w:r w:rsidRPr="00B81C5C">
        <w:rPr>
          <w:rFonts w:asciiTheme="majorHAnsi" w:hAnsiTheme="majorHAnsi"/>
          <w:i/>
          <w:color w:val="000000" w:themeColor="text1"/>
        </w:rPr>
        <w:t xml:space="preserve"> (SEC), inició una investigación de la empresa y sus resultados.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Enron admitió que había inflado las utilidades y pidió protección por bancarrota el 2 de Diciembre de ese año. Se descubrió que millones de dólares en deuda habían sido escondidos en una compleja red de transacciones.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Las audiencias parlamentarias e indagaciones de las agencias reguladoras fueron seguidas por una investigación penal para buscar a los culpables de la caída de Enron.</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¿Qué salió mal?</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 xml:space="preserve">Las operaciones comerciales de Enron dependían fuertemente de transacciones comerciales complejas, muchas de ellas asociadas a negocios futuros. Se alega que muchas de esas apuestas a precios energéticos futuros estaban perdiendo dinero, y que, para disfrazar </w:t>
      </w:r>
      <w:proofErr w:type="spellStart"/>
      <w:r w:rsidRPr="00B81C5C">
        <w:rPr>
          <w:rFonts w:asciiTheme="majorHAnsi" w:hAnsiTheme="majorHAnsi"/>
          <w:i/>
          <w:color w:val="000000" w:themeColor="text1"/>
        </w:rPr>
        <w:t>ésto</w:t>
      </w:r>
      <w:proofErr w:type="spellEnd"/>
      <w:r w:rsidRPr="00B81C5C">
        <w:rPr>
          <w:rFonts w:asciiTheme="majorHAnsi" w:hAnsiTheme="majorHAnsi"/>
          <w:i/>
          <w:color w:val="000000" w:themeColor="text1"/>
        </w:rPr>
        <w:t>, se creó una red de “sociedades” que mantenían las pérdidas fuera de los balances generales de la compañía.</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 xml:space="preserve">Algunas de las sociedades fueron supuestamente armadas por ejecutivos, para beneficiar a ellos y a sus familias en varios millones de dólares. Adicionalmente, muchos de los ejecutivos </w:t>
      </w:r>
      <w:r w:rsidRPr="00B81C5C">
        <w:rPr>
          <w:rFonts w:asciiTheme="majorHAnsi" w:hAnsiTheme="majorHAnsi"/>
          <w:i/>
          <w:color w:val="000000" w:themeColor="text1"/>
        </w:rPr>
        <w:lastRenderedPageBreak/>
        <w:t>de la empresa supuestamente obtuvieron utilidades inmensas al vender sus acciones antes de que se hicieran públicas las dificultades de Enron.</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¿Cuál fue el efecto del colapso de Enron?</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Enron dejó US$31.800 millones en deudas, sus acciones perdieron todo valor, y 21.000 personas alrededor del mundo se quedaron sin empleo. Enron salió de la protección de bancarrota en 2004, y sigue vendiendo sus activos restantes para pagar a los acreedores.</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El mensaje de Enron para Auditores…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El caso Enron se convirtió en un caso emblemático para los comités de Auditoría. Aunque no se puede prejuzgar la gestión del comité de Auditoría de Enron, su experiencia muestra que ellos deben tener en consideración varios aspectos.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Cada miembro del comité necesita estar financieramente competente para entender el balance y las respectivas notas de la compañía. También los miembros del comité de Auditoría deben: conocer las recomendaciones que cada Estado hace con respecto a las normas contables, para examinar de cerca las transacciones significativas, especialmente aquellas que pueden cambiar la estimación de utilidades para el trimestre o año.</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De igual manera, preguntar al Gerente de Finanzas y al Auditor Externo, si las transacciones se registran en el balance de acuerdo a los más altos estándares que se podría usar, y si no, por qué no.</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¿Qué significa el caso Enron para los Auditores?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El analista chileno </w:t>
      </w:r>
      <w:hyperlink r:id="rId7" w:tgtFrame="_blank" w:history="1">
        <w:r w:rsidRPr="00B81C5C">
          <w:rPr>
            <w:rStyle w:val="Hipervnculo"/>
            <w:rFonts w:asciiTheme="majorHAnsi" w:hAnsiTheme="majorHAnsi"/>
            <w:i/>
            <w:color w:val="000000" w:themeColor="text1"/>
            <w:u w:val="none"/>
          </w:rPr>
          <w:t>Teodoro Wigodski</w:t>
        </w:r>
      </w:hyperlink>
      <w:r w:rsidRPr="00B81C5C">
        <w:rPr>
          <w:rFonts w:asciiTheme="majorHAnsi" w:hAnsiTheme="majorHAnsi"/>
          <w:i/>
          <w:color w:val="000000" w:themeColor="text1"/>
        </w:rPr>
        <w:t> plantea que es evidente que las empresas de Auditoría han perdido la confianza de algunos accionistas, cosa que no es exclusivo del caso Enron. Se ha presentado una sucesión de compañías americanas donde los Auditores Externos no hicieron bien su trabajo.</w:t>
      </w:r>
    </w:p>
    <w:p w:rsidR="00B81C5C" w:rsidRPr="00B81C5C" w:rsidRDefault="00B81C5C" w:rsidP="00B81C5C">
      <w:pPr>
        <w:rPr>
          <w:rFonts w:asciiTheme="majorHAnsi" w:hAnsiTheme="majorHAnsi"/>
          <w:i/>
          <w:color w:val="000000" w:themeColor="text1"/>
        </w:rPr>
      </w:pPr>
      <w:r w:rsidRPr="00B81C5C">
        <w:rPr>
          <w:rFonts w:asciiTheme="majorHAnsi" w:hAnsiTheme="majorHAnsi"/>
          <w:i/>
          <w:iCs/>
          <w:color w:val="000000" w:themeColor="text1"/>
        </w:rPr>
        <w:t xml:space="preserve">“Me parece que los Auditores Externos estarán haciendo algunos cambios fundamentales en cómo hacen sus Revisiones, para la aprobación de los balances. La lección fundamental aquí es que se pueden tener </w:t>
      </w:r>
      <w:proofErr w:type="gramStart"/>
      <w:r w:rsidRPr="00B81C5C">
        <w:rPr>
          <w:rFonts w:asciiTheme="majorHAnsi" w:hAnsiTheme="majorHAnsi"/>
          <w:i/>
          <w:iCs/>
          <w:color w:val="000000" w:themeColor="text1"/>
        </w:rPr>
        <w:t>toda las reglas contables</w:t>
      </w:r>
      <w:proofErr w:type="gramEnd"/>
      <w:r w:rsidRPr="00B81C5C">
        <w:rPr>
          <w:rFonts w:asciiTheme="majorHAnsi" w:hAnsiTheme="majorHAnsi"/>
          <w:i/>
          <w:iCs/>
          <w:color w:val="000000" w:themeColor="text1"/>
        </w:rPr>
        <w:t xml:space="preserve"> que se pueden escribir, desarrollar nuevas reglas para contabilizar las entidades de propósito especial o para la valorización de derivados y requerir gran transparencia de la métrica de las variables financieras o de las transacciones con partes relacionadas. Al final, ninguna regla será suficiente, si los altos ejecutivos juegan con los números y “cocinan” los resultados para el balance y, los Auditores Externos no identifican que se está cocinando y si el “plato” será comestible para los inversionistas y los mercados”</w:t>
      </w:r>
      <w:r w:rsidRPr="00B81C5C">
        <w:rPr>
          <w:rFonts w:asciiTheme="majorHAnsi" w:hAnsiTheme="majorHAnsi"/>
          <w:i/>
          <w:color w:val="000000" w:themeColor="text1"/>
        </w:rPr>
        <w:t>, agrega.</w:t>
      </w:r>
    </w:p>
    <w:p w:rsidR="00B81C5C" w:rsidRPr="00B81C5C" w:rsidRDefault="00B81C5C" w:rsidP="00B81C5C">
      <w:pPr>
        <w:rPr>
          <w:rFonts w:asciiTheme="majorHAnsi" w:hAnsiTheme="majorHAnsi"/>
          <w:bCs/>
          <w:i/>
          <w:color w:val="000000" w:themeColor="text1"/>
        </w:rPr>
      </w:pPr>
      <w:r w:rsidRPr="00B81C5C">
        <w:rPr>
          <w:rFonts w:asciiTheme="majorHAnsi" w:hAnsiTheme="majorHAnsi"/>
          <w:bCs/>
          <w:i/>
          <w:color w:val="000000" w:themeColor="text1"/>
        </w:rPr>
        <w:t xml:space="preserve">Los cuatro graves </w:t>
      </w:r>
      <w:proofErr w:type="spellStart"/>
      <w:r w:rsidRPr="00B81C5C">
        <w:rPr>
          <w:rFonts w:asciiTheme="majorHAnsi" w:hAnsiTheme="majorHAnsi"/>
          <w:bCs/>
          <w:i/>
          <w:color w:val="000000" w:themeColor="text1"/>
        </w:rPr>
        <w:t>errorres</w:t>
      </w:r>
      <w:proofErr w:type="spellEnd"/>
      <w:r w:rsidRPr="00B81C5C">
        <w:rPr>
          <w:rFonts w:asciiTheme="majorHAnsi" w:hAnsiTheme="majorHAnsi"/>
          <w:bCs/>
          <w:i/>
          <w:color w:val="000000" w:themeColor="text1"/>
        </w:rPr>
        <w:t xml:space="preserve"> de terceros</w:t>
      </w:r>
    </w:p>
    <w:p w:rsidR="00B81C5C" w:rsidRPr="00B81C5C" w:rsidRDefault="00B81C5C" w:rsidP="00B81C5C">
      <w:pPr>
        <w:rPr>
          <w:rFonts w:asciiTheme="majorHAnsi" w:hAnsiTheme="majorHAnsi"/>
          <w:i/>
          <w:color w:val="000000" w:themeColor="text1"/>
        </w:rPr>
      </w:pPr>
      <w:r w:rsidRPr="00B81C5C">
        <w:rPr>
          <w:rFonts w:asciiTheme="majorHAnsi" w:hAnsiTheme="majorHAnsi"/>
          <w:i/>
          <w:color w:val="000000" w:themeColor="text1"/>
        </w:rPr>
        <w:t>El mismo Wigodski tiene una hipótesis de cuatro equivocaciones en las cuales cayeron las personas externas que participaron en este escándalo</w:t>
      </w:r>
    </w:p>
    <w:p w:rsidR="00B81C5C" w:rsidRPr="00B81C5C" w:rsidRDefault="00B81C5C" w:rsidP="00B81C5C">
      <w:pPr>
        <w:numPr>
          <w:ilvl w:val="0"/>
          <w:numId w:val="1"/>
        </w:numPr>
        <w:rPr>
          <w:rFonts w:asciiTheme="majorHAnsi" w:hAnsiTheme="majorHAnsi"/>
          <w:i/>
          <w:color w:val="000000" w:themeColor="text1"/>
        </w:rPr>
      </w:pPr>
      <w:r w:rsidRPr="00B81C5C">
        <w:rPr>
          <w:rFonts w:asciiTheme="majorHAnsi" w:hAnsiTheme="majorHAnsi"/>
          <w:i/>
          <w:color w:val="000000" w:themeColor="text1"/>
        </w:rPr>
        <w:t>El primero, un vacío en la legislación bursátil estadounidense, que permitió radicar el endeudamiento de Enron en sociedades instrumentales de propósito específico, que no fueron consideradas en el balance consolidado, por lo que el mercado no podía conocer su verdadera situación financiera.</w:t>
      </w:r>
    </w:p>
    <w:p w:rsidR="00B81C5C" w:rsidRPr="00B81C5C" w:rsidRDefault="00B81C5C" w:rsidP="00B81C5C">
      <w:pPr>
        <w:numPr>
          <w:ilvl w:val="0"/>
          <w:numId w:val="2"/>
        </w:numPr>
        <w:rPr>
          <w:rFonts w:asciiTheme="majorHAnsi" w:hAnsiTheme="majorHAnsi"/>
          <w:i/>
          <w:color w:val="000000" w:themeColor="text1"/>
        </w:rPr>
      </w:pPr>
      <w:r w:rsidRPr="00B81C5C">
        <w:rPr>
          <w:rFonts w:asciiTheme="majorHAnsi" w:hAnsiTheme="majorHAnsi"/>
          <w:i/>
          <w:color w:val="000000" w:themeColor="text1"/>
        </w:rPr>
        <w:lastRenderedPageBreak/>
        <w:t>El segundo error fue en el marco legal de la desregulación del sector eléctrico en EEUU, que no puso razonables restricciones a inversiones en derivados financieros.</w:t>
      </w:r>
    </w:p>
    <w:p w:rsidR="00B81C5C" w:rsidRPr="00B81C5C" w:rsidRDefault="00B81C5C" w:rsidP="00B81C5C">
      <w:pPr>
        <w:numPr>
          <w:ilvl w:val="0"/>
          <w:numId w:val="3"/>
        </w:numPr>
        <w:rPr>
          <w:rFonts w:asciiTheme="majorHAnsi" w:hAnsiTheme="majorHAnsi"/>
          <w:i/>
          <w:color w:val="000000" w:themeColor="text1"/>
        </w:rPr>
      </w:pPr>
      <w:r w:rsidRPr="00B81C5C">
        <w:rPr>
          <w:rFonts w:asciiTheme="majorHAnsi" w:hAnsiTheme="majorHAnsi"/>
          <w:i/>
          <w:color w:val="000000" w:themeColor="text1"/>
        </w:rPr>
        <w:t>El tercero fue de la empresa auditora, los bancos de inversiones y las agencias de calificación de riesgo, que no dieron señales oportunas de alerta, dejando en evidencia la inadecuada capacidad de reacción de estas firmas.</w:t>
      </w:r>
    </w:p>
    <w:p w:rsidR="00B81C5C" w:rsidRPr="00B81C5C" w:rsidRDefault="00B81C5C" w:rsidP="00B81C5C">
      <w:pPr>
        <w:numPr>
          <w:ilvl w:val="0"/>
          <w:numId w:val="4"/>
        </w:numPr>
        <w:rPr>
          <w:rFonts w:asciiTheme="majorHAnsi" w:hAnsiTheme="majorHAnsi"/>
          <w:i/>
          <w:color w:val="000000" w:themeColor="text1"/>
        </w:rPr>
      </w:pPr>
      <w:r w:rsidRPr="00B81C5C">
        <w:rPr>
          <w:rFonts w:asciiTheme="majorHAnsi" w:hAnsiTheme="majorHAnsi"/>
          <w:i/>
          <w:color w:val="000000" w:themeColor="text1"/>
        </w:rPr>
        <w:t>El cuarto, es el alto nivel de relación que se observaba desde 1985 entre las autoridades de gobierno y políticos de todos los sectores y Enron, lo que contribuyó a potenciar la característica arrogancia de los ejecutivos de esta empresa frente al mercado.</w:t>
      </w:r>
    </w:p>
    <w:p w:rsidR="00761EF8" w:rsidRPr="00B81C5C" w:rsidRDefault="00B81C5C" w:rsidP="00B81C5C">
      <w:pPr>
        <w:rPr>
          <w:color w:val="000000" w:themeColor="text1"/>
        </w:rPr>
      </w:pPr>
      <w:r w:rsidRPr="00B81C5C">
        <w:rPr>
          <w:color w:val="000000" w:themeColor="text1"/>
        </w:rPr>
        <w:br/>
      </w:r>
    </w:p>
    <w:sectPr w:rsidR="00761EF8" w:rsidRPr="00B81C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4554A0"/>
    <w:multiLevelType w:val="multilevel"/>
    <w:tmpl w:val="9146C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B655AA"/>
    <w:multiLevelType w:val="multilevel"/>
    <w:tmpl w:val="3E84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D7D17AC"/>
    <w:multiLevelType w:val="multilevel"/>
    <w:tmpl w:val="B736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136A48"/>
    <w:multiLevelType w:val="multilevel"/>
    <w:tmpl w:val="5606B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C5C"/>
    <w:rsid w:val="00761EF8"/>
    <w:rsid w:val="00B81C5C"/>
    <w:rsid w:val="00FB625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81C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81C5C"/>
    <w:rPr>
      <w:color w:val="0000FF" w:themeColor="hyperlink"/>
      <w:u w:val="single"/>
    </w:rPr>
  </w:style>
  <w:style w:type="character" w:customStyle="1" w:styleId="Ttulo1Car">
    <w:name w:val="Título 1 Car"/>
    <w:basedOn w:val="Fuentedeprrafopredeter"/>
    <w:link w:val="Ttulo1"/>
    <w:uiPriority w:val="9"/>
    <w:rsid w:val="00B81C5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81C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81C5C"/>
    <w:rPr>
      <w:color w:val="0000FF" w:themeColor="hyperlink"/>
      <w:u w:val="single"/>
    </w:rPr>
  </w:style>
  <w:style w:type="character" w:customStyle="1" w:styleId="Ttulo1Car">
    <w:name w:val="Título 1 Car"/>
    <w:basedOn w:val="Fuentedeprrafopredeter"/>
    <w:link w:val="Ttulo1"/>
    <w:uiPriority w:val="9"/>
    <w:rsid w:val="00B81C5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877537">
      <w:bodyDiv w:val="1"/>
      <w:marLeft w:val="0"/>
      <w:marRight w:val="0"/>
      <w:marTop w:val="0"/>
      <w:marBottom w:val="0"/>
      <w:divBdr>
        <w:top w:val="none" w:sz="0" w:space="0" w:color="auto"/>
        <w:left w:val="none" w:sz="0" w:space="0" w:color="auto"/>
        <w:bottom w:val="none" w:sz="0" w:space="0" w:color="auto"/>
        <w:right w:val="none" w:sz="0" w:space="0" w:color="auto"/>
      </w:divBdr>
      <w:divsChild>
        <w:div w:id="1409377095">
          <w:marLeft w:val="0"/>
          <w:marRight w:val="0"/>
          <w:marTop w:val="0"/>
          <w:marBottom w:val="0"/>
          <w:divBdr>
            <w:top w:val="none" w:sz="0" w:space="0" w:color="auto"/>
            <w:left w:val="none" w:sz="0" w:space="0" w:color="auto"/>
            <w:bottom w:val="none" w:sz="0" w:space="0" w:color="auto"/>
            <w:right w:val="none" w:sz="0" w:space="0" w:color="auto"/>
          </w:divBdr>
          <w:divsChild>
            <w:div w:id="20463636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irculo-icau.cl/uploads/documentos/descarga_0/enron00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hi/spanish/business/newsid_5017000/5017734.s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5239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2</cp:revision>
  <dcterms:created xsi:type="dcterms:W3CDTF">2012-12-15T00:47:00Z</dcterms:created>
  <dcterms:modified xsi:type="dcterms:W3CDTF">2012-12-15T00:47:00Z</dcterms:modified>
</cp:coreProperties>
</file>