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318" w:rsidRPr="009866A8" w:rsidRDefault="00810EFB">
      <w:pPr>
        <w:rPr>
          <w:b/>
          <w:sz w:val="24"/>
        </w:rPr>
      </w:pPr>
      <w:r w:rsidRPr="009866A8">
        <w:rPr>
          <w:b/>
          <w:sz w:val="24"/>
        </w:rPr>
        <w:t>SECCION 11: INSTRUMENTOS FINANCIEROS BASICOS</w:t>
      </w:r>
    </w:p>
    <w:p w:rsidR="00866BD6" w:rsidRDefault="00866BD6">
      <w:r>
        <w:t xml:space="preserve">GRUPO TEORICO: 14  </w:t>
      </w:r>
      <w:bookmarkStart w:id="0" w:name="_GoBack"/>
      <w:bookmarkEnd w:id="0"/>
      <w:r>
        <w:t xml:space="preserve">                                GRUPO DE EXPOSICION: 8</w:t>
      </w:r>
    </w:p>
    <w:p w:rsidR="00B9013C" w:rsidRDefault="00B9013C"/>
    <w:p w:rsidR="00810EFB" w:rsidRDefault="00866BD6">
      <w:r>
        <w:t>SOLUCION A LOS EJERCICIOS 21 AL 24.</w:t>
      </w:r>
    </w:p>
    <w:p w:rsidR="00866BD6" w:rsidRDefault="00AA74CF" w:rsidP="00AA74CF">
      <w:pPr>
        <w:pStyle w:val="Prrafodelista"/>
        <w:numPr>
          <w:ilvl w:val="0"/>
          <w:numId w:val="2"/>
        </w:numPr>
      </w:pPr>
      <w:r>
        <w:t>E</w:t>
      </w:r>
      <w:r w:rsidR="00360188">
        <w:t>n el ejer</w:t>
      </w:r>
      <w:r w:rsidR="002D4C5F">
        <w:t>cicio 21 nos hace referencia al párrafo 11.9 y al 11.8 de NIIF pymes</w:t>
      </w:r>
      <w:r w:rsidR="007E6A70">
        <w:t xml:space="preserve"> que es el compromiso de recibir un préstamo.</w:t>
      </w:r>
    </w:p>
    <w:p w:rsidR="00F213D2" w:rsidRDefault="00AA74CF" w:rsidP="00AA74CF">
      <w:pPr>
        <w:pStyle w:val="Prrafodelista"/>
        <w:numPr>
          <w:ilvl w:val="0"/>
          <w:numId w:val="2"/>
        </w:numPr>
      </w:pPr>
      <w:r>
        <w:t>En el ejercic</w:t>
      </w:r>
      <w:r w:rsidR="00F213D2">
        <w:t>i</w:t>
      </w:r>
      <w:r>
        <w:t xml:space="preserve">o 22 </w:t>
      </w:r>
      <w:r w:rsidR="00F213D2">
        <w:t xml:space="preserve">se </w:t>
      </w:r>
      <w:r>
        <w:t>nos detalla los derivados y derivados implícitos</w:t>
      </w:r>
      <w:r w:rsidR="00F213D2">
        <w:t xml:space="preserve"> conceptos generales.</w:t>
      </w:r>
    </w:p>
    <w:p w:rsidR="00AA74CF" w:rsidRDefault="00F213D2" w:rsidP="00AA74CF">
      <w:pPr>
        <w:pStyle w:val="Prrafodelista"/>
        <w:numPr>
          <w:ilvl w:val="0"/>
          <w:numId w:val="2"/>
        </w:numPr>
      </w:pPr>
      <w:r>
        <w:t>En el ejercicio 23 es una referencia al cumplimiento de las condiciones del párrafo 11.</w:t>
      </w:r>
      <w:r w:rsidR="00604F25">
        <w:t xml:space="preserve"> (a)(i) así como también (b) a (d)</w:t>
      </w:r>
      <w:r w:rsidR="00AA74CF">
        <w:t xml:space="preserve"> </w:t>
      </w:r>
      <w:r w:rsidR="007E6A70">
        <w:t>donde una empresa contrae una deuda con otra y está en la obligación de pagar por dicha compra al crédito</w:t>
      </w:r>
      <w:r w:rsidR="004564F7">
        <w:t>.</w:t>
      </w:r>
    </w:p>
    <w:p w:rsidR="004564F7" w:rsidRDefault="004564F7" w:rsidP="00AA74CF">
      <w:pPr>
        <w:pStyle w:val="Prrafodelista"/>
        <w:numPr>
          <w:ilvl w:val="0"/>
          <w:numId w:val="2"/>
        </w:numPr>
      </w:pPr>
      <w:r>
        <w:t xml:space="preserve">En el ejercicio 24 </w:t>
      </w:r>
      <w:r w:rsidR="00604F25">
        <w:t>también</w:t>
      </w:r>
      <w:r>
        <w:t xml:space="preserve"> trata sobre el cumplimiento de las condiciones del párrafo 11.9 </w:t>
      </w:r>
      <w:r w:rsidR="00376E78">
        <w:t>(a) (i) sobre el importe fijo.</w:t>
      </w:r>
    </w:p>
    <w:p w:rsidR="00376E78" w:rsidRDefault="00376E78" w:rsidP="00376E78">
      <w:pPr>
        <w:pStyle w:val="Prrafodelista"/>
      </w:pPr>
    </w:p>
    <w:p w:rsidR="00866BD6" w:rsidRPr="004E52D8" w:rsidRDefault="00376E78">
      <w:pPr>
        <w:rPr>
          <w:u w:val="single"/>
        </w:rPr>
      </w:pPr>
      <w:r w:rsidRPr="004E52D8">
        <w:rPr>
          <w:u w:val="single"/>
        </w:rPr>
        <w:t>Presentación del párrafo 11.9 NIIF pymes</w:t>
      </w:r>
    </w:p>
    <w:p w:rsidR="00686354" w:rsidRDefault="00686354" w:rsidP="00686354">
      <w:pPr>
        <w:spacing w:after="0"/>
      </w:pPr>
      <w:r>
        <w:t>11.9 Un instrumento de deuda que satisfaga todas las condiciones de (a) a (d) siguientes deberá contabilizarse de acuerdo con la Sección 11:</w:t>
      </w:r>
    </w:p>
    <w:p w:rsidR="004E52D8" w:rsidRDefault="004E52D8" w:rsidP="00686354">
      <w:pPr>
        <w:spacing w:after="0"/>
      </w:pPr>
    </w:p>
    <w:p w:rsidR="00686354" w:rsidRDefault="00686354" w:rsidP="00686354">
      <w:pPr>
        <w:spacing w:after="0"/>
      </w:pPr>
      <w:r>
        <w:t>(a) Los rendimientos para los tenedores son</w:t>
      </w:r>
    </w:p>
    <w:p w:rsidR="00686354" w:rsidRDefault="00686354" w:rsidP="00686354">
      <w:pPr>
        <w:spacing w:after="0"/>
      </w:pPr>
      <w:r>
        <w:t>(i) un importe fijo;</w:t>
      </w:r>
    </w:p>
    <w:p w:rsidR="00686354" w:rsidRDefault="00686354" w:rsidP="00686354">
      <w:pPr>
        <w:spacing w:after="0"/>
      </w:pPr>
      <w:r>
        <w:t>(ii) una tasa fija de rendimiento sobre la vida del instrumento;</w:t>
      </w:r>
    </w:p>
    <w:p w:rsidR="00686354" w:rsidRDefault="00686354" w:rsidP="00686354">
      <w:pPr>
        <w:spacing w:after="0"/>
      </w:pPr>
      <w:r>
        <w:t>(iii) un rendimiento variable que a lo largo de la vida del instrumento, se</w:t>
      </w:r>
      <w:r w:rsidR="00F35104">
        <w:t xml:space="preserve"> iguala a la aplicación de </w:t>
      </w:r>
      <w:r>
        <w:t>una referencia única cotizada o una tasa de</w:t>
      </w:r>
      <w:r w:rsidR="00F35104">
        <w:t xml:space="preserve"> </w:t>
      </w:r>
      <w:r>
        <w:t>interés observable (tal como el LIBOR); o</w:t>
      </w:r>
    </w:p>
    <w:p w:rsidR="00F35104" w:rsidRDefault="00686354" w:rsidP="00686354">
      <w:pPr>
        <w:spacing w:after="0"/>
      </w:pPr>
      <w:r>
        <w:t>(iv) alguna combinación de estas tasas fijas y variables (como el LIBOR</w:t>
      </w:r>
      <w:r w:rsidR="00F35104">
        <w:t xml:space="preserve"> más 200 puntos básicos), </w:t>
      </w:r>
      <w:r>
        <w:t>siempre que tanto la tasa fija como la</w:t>
      </w:r>
      <w:r w:rsidR="00F35104">
        <w:t xml:space="preserve"> </w:t>
      </w:r>
      <w:r>
        <w:t>variable sean positivas (por ejemplo, una permuta financiera de tasa</w:t>
      </w:r>
      <w:r w:rsidR="00F35104">
        <w:t xml:space="preserve"> </w:t>
      </w:r>
      <w:r>
        <w:t>de interés con una tasa fija positiva y una tasa variable negativa no</w:t>
      </w:r>
      <w:r w:rsidR="00F35104">
        <w:t xml:space="preserve"> </w:t>
      </w:r>
      <w:r>
        <w:t xml:space="preserve">cumpliría esta criterio). </w:t>
      </w:r>
    </w:p>
    <w:p w:rsidR="00F35104" w:rsidRDefault="00F35104" w:rsidP="00686354">
      <w:pPr>
        <w:spacing w:after="0"/>
      </w:pPr>
    </w:p>
    <w:p w:rsidR="00686354" w:rsidRDefault="00686354" w:rsidP="00686354">
      <w:pPr>
        <w:spacing w:after="0"/>
      </w:pPr>
      <w:r>
        <w:t>Para rendimientos de tasas de interés fijo o</w:t>
      </w:r>
      <w:r w:rsidR="00F35104">
        <w:t xml:space="preserve"> </w:t>
      </w:r>
      <w:r>
        <w:t>variable, el interés se calcula multiplicando la tasa para el periodo</w:t>
      </w:r>
      <w:r w:rsidR="00F35104">
        <w:t xml:space="preserve"> </w:t>
      </w:r>
      <w:r>
        <w:t>aplicable por el importe principal pendiente durante el periodo.</w:t>
      </w:r>
    </w:p>
    <w:p w:rsidR="004E52D8" w:rsidRDefault="004E52D8" w:rsidP="00686354">
      <w:pPr>
        <w:spacing w:after="0"/>
      </w:pPr>
    </w:p>
    <w:p w:rsidR="00686354" w:rsidRDefault="00686354" w:rsidP="00686354">
      <w:pPr>
        <w:spacing w:after="0"/>
      </w:pPr>
      <w:r>
        <w:t>(b) No hay cláusulas contractuales que, por sus condiciones, pudieran dar</w:t>
      </w:r>
      <w:r w:rsidR="004E52D8">
        <w:t xml:space="preserve"> </w:t>
      </w:r>
      <w:r>
        <w:t>lugar a que el tenedor pierda el importe principal y cualquier interés</w:t>
      </w:r>
      <w:r w:rsidR="004E52D8">
        <w:t xml:space="preserve"> </w:t>
      </w:r>
      <w:r>
        <w:t>atribuible al periodo corriente o a periodos anteriores. El hecho de que un</w:t>
      </w:r>
      <w:r w:rsidR="004E52D8">
        <w:t xml:space="preserve"> </w:t>
      </w:r>
      <w:r>
        <w:t>instrumento de deuda esté subordinado a otros instrumentos de deuda no es</w:t>
      </w:r>
      <w:r w:rsidR="004E52D8">
        <w:t xml:space="preserve"> </w:t>
      </w:r>
      <w:r>
        <w:t>un ejemplo de esta cláusula contractual.</w:t>
      </w:r>
    </w:p>
    <w:p w:rsidR="00686354" w:rsidRDefault="00686354" w:rsidP="00686354">
      <w:pPr>
        <w:spacing w:after="0"/>
      </w:pPr>
      <w:r>
        <w:t>(c) Las cláusulas contractuales que permitan al emisor (el deudor) pagar</w:t>
      </w:r>
      <w:r w:rsidR="004E52D8">
        <w:t xml:space="preserve"> </w:t>
      </w:r>
      <w:r>
        <w:t>anticipadamente un instrumento de deuda o permitan que el tenedor (el</w:t>
      </w:r>
      <w:r w:rsidR="004E52D8">
        <w:t xml:space="preserve"> </w:t>
      </w:r>
      <w:r>
        <w:t>acreedor) lo devuelva al emisor antes de la fecha de vencimiento no están</w:t>
      </w:r>
      <w:r w:rsidR="004E52D8">
        <w:t xml:space="preserve"> </w:t>
      </w:r>
      <w:r>
        <w:t>supeditadas a sucesos futuros.</w:t>
      </w:r>
    </w:p>
    <w:p w:rsidR="00376E78" w:rsidRDefault="00686354" w:rsidP="00686354">
      <w:pPr>
        <w:spacing w:after="0"/>
      </w:pPr>
      <w:r>
        <w:t>(d) No existe un rendimiento condicional o una cláusula de reembolso excepto</w:t>
      </w:r>
      <w:r w:rsidR="004E52D8">
        <w:t xml:space="preserve"> </w:t>
      </w:r>
      <w:r>
        <w:t>para el rendimiento de tasa variable descrito en (a) y para la cláusula de</w:t>
      </w:r>
      <w:r w:rsidR="004E52D8">
        <w:t xml:space="preserve"> </w:t>
      </w:r>
      <w:r>
        <w:t>reembolso descrita en (c).</w:t>
      </w:r>
    </w:p>
    <w:p w:rsidR="009866A8" w:rsidRDefault="009866A8" w:rsidP="00686354">
      <w:pPr>
        <w:spacing w:after="0"/>
      </w:pPr>
    </w:p>
    <w:p w:rsidR="00EC7A1A" w:rsidRDefault="00EC7A1A" w:rsidP="00686354">
      <w:pPr>
        <w:spacing w:after="0"/>
      </w:pPr>
    </w:p>
    <w:p w:rsidR="00EC7A1A" w:rsidRDefault="00EC7A1A" w:rsidP="00686354">
      <w:pPr>
        <w:spacing w:after="0"/>
      </w:pPr>
    </w:p>
    <w:sectPr w:rsidR="00EC7A1A" w:rsidSect="00B67F3B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45A6D"/>
    <w:multiLevelType w:val="hybridMultilevel"/>
    <w:tmpl w:val="81784C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E4F62"/>
    <w:multiLevelType w:val="hybridMultilevel"/>
    <w:tmpl w:val="32DC964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3B"/>
    <w:rsid w:val="002D4C5F"/>
    <w:rsid w:val="00360188"/>
    <w:rsid w:val="00372B6A"/>
    <w:rsid w:val="00376E78"/>
    <w:rsid w:val="004564F7"/>
    <w:rsid w:val="004E52D8"/>
    <w:rsid w:val="005701D6"/>
    <w:rsid w:val="00604F25"/>
    <w:rsid w:val="00686354"/>
    <w:rsid w:val="007E6A70"/>
    <w:rsid w:val="00810EFB"/>
    <w:rsid w:val="00866BD6"/>
    <w:rsid w:val="009866A8"/>
    <w:rsid w:val="00AA3CBD"/>
    <w:rsid w:val="00AA74CF"/>
    <w:rsid w:val="00B67F3B"/>
    <w:rsid w:val="00B9013C"/>
    <w:rsid w:val="00EC7A1A"/>
    <w:rsid w:val="00F213D2"/>
    <w:rsid w:val="00F3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3A4E5-D32F-4645-93DB-A7ABB70F7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74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Silva</dc:creator>
  <cp:keywords/>
  <dc:description/>
  <cp:lastModifiedBy>Francisco Silva</cp:lastModifiedBy>
  <cp:revision>3</cp:revision>
  <dcterms:created xsi:type="dcterms:W3CDTF">2014-09-16T19:48:00Z</dcterms:created>
  <dcterms:modified xsi:type="dcterms:W3CDTF">2014-09-17T04:01:00Z</dcterms:modified>
</cp:coreProperties>
</file>