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972" w:rsidRPr="001E5E5B" w:rsidRDefault="001E5E5B" w:rsidP="001E5E5B">
      <w:pPr>
        <w:pStyle w:val="Ttulo"/>
        <w:jc w:val="center"/>
        <w:rPr>
          <w:rFonts w:ascii="Century Gothic" w:hAnsi="Century Gothic"/>
        </w:rPr>
      </w:pPr>
      <w:r w:rsidRPr="001E5E5B">
        <w:rPr>
          <w:rFonts w:ascii="Century Gothic" w:hAnsi="Century Gothic"/>
        </w:rPr>
        <w:t>RESUMEN</w:t>
      </w:r>
    </w:p>
    <w:p w:rsidR="001E5E5B" w:rsidRPr="008D7EDC" w:rsidRDefault="001E5E5B" w:rsidP="0051383D">
      <w:pPr>
        <w:jc w:val="both"/>
        <w:rPr>
          <w:rFonts w:cs="Arial"/>
        </w:rPr>
      </w:pPr>
      <w:r w:rsidRPr="008D7EDC">
        <w:rPr>
          <w:rFonts w:cs="Arial"/>
        </w:rPr>
        <w:t>Un instrumento financiero es un contrato que da lugar a un activo financiero de una entidad y a un pasivo financiero o a un instrumento de polinomio de otra.</w:t>
      </w:r>
      <w:r w:rsidR="00663B7E" w:rsidRPr="008D7EDC">
        <w:rPr>
          <w:rFonts w:cs="Arial"/>
        </w:rPr>
        <w:t xml:space="preserve"> Una entidad contabilizara los siguientes instrumentos financieros como instrumento financiero básico de acuerdo con lo establecido en la sección 11</w:t>
      </w:r>
    </w:p>
    <w:p w:rsidR="00663B7E" w:rsidRPr="008D7EDC" w:rsidRDefault="00663B7E" w:rsidP="0051383D">
      <w:pPr>
        <w:pStyle w:val="Prrafodelista"/>
        <w:numPr>
          <w:ilvl w:val="0"/>
          <w:numId w:val="1"/>
        </w:numPr>
        <w:jc w:val="both"/>
        <w:rPr>
          <w:rFonts w:cs="Arial"/>
        </w:rPr>
      </w:pPr>
      <w:r w:rsidRPr="008D7EDC">
        <w:rPr>
          <w:rFonts w:cs="Arial"/>
        </w:rPr>
        <w:t>Efectivo</w:t>
      </w:r>
    </w:p>
    <w:p w:rsidR="00663B7E" w:rsidRPr="008D7EDC" w:rsidRDefault="00663B7E" w:rsidP="0051383D">
      <w:pPr>
        <w:pStyle w:val="Prrafodelista"/>
        <w:numPr>
          <w:ilvl w:val="0"/>
          <w:numId w:val="1"/>
        </w:numPr>
        <w:jc w:val="both"/>
        <w:rPr>
          <w:rFonts w:cs="Arial"/>
        </w:rPr>
      </w:pPr>
      <w:r w:rsidRPr="008D7EDC">
        <w:rPr>
          <w:rFonts w:cs="Arial"/>
        </w:rPr>
        <w:t>Un instrumento de deuda (como cuenta pagare o préstamo por cobrar o pagar)</w:t>
      </w:r>
    </w:p>
    <w:p w:rsidR="00663B7E" w:rsidRPr="008D7EDC" w:rsidRDefault="00663B7E" w:rsidP="0051383D">
      <w:pPr>
        <w:pStyle w:val="Prrafodelista"/>
        <w:numPr>
          <w:ilvl w:val="0"/>
          <w:numId w:val="1"/>
        </w:numPr>
        <w:jc w:val="both"/>
        <w:rPr>
          <w:rFonts w:cs="Arial"/>
        </w:rPr>
      </w:pPr>
      <w:r w:rsidRPr="008D7EDC">
        <w:rPr>
          <w:rFonts w:cs="Arial"/>
        </w:rPr>
        <w:t>Un compromiso de recibir un préstamo que:</w:t>
      </w:r>
    </w:p>
    <w:p w:rsidR="00663B7E" w:rsidRPr="008D7EDC" w:rsidRDefault="00663B7E" w:rsidP="0051383D">
      <w:pPr>
        <w:pStyle w:val="Prrafodelista"/>
        <w:numPr>
          <w:ilvl w:val="1"/>
          <w:numId w:val="1"/>
        </w:numPr>
        <w:jc w:val="both"/>
        <w:rPr>
          <w:rFonts w:cs="Arial"/>
        </w:rPr>
      </w:pPr>
      <w:r w:rsidRPr="008D7EDC">
        <w:rPr>
          <w:rFonts w:cs="Arial"/>
        </w:rPr>
        <w:t xml:space="preserve">No pueda liquidarse por el importe neto en efectivo, y </w:t>
      </w:r>
    </w:p>
    <w:p w:rsidR="00663B7E" w:rsidRPr="008D7EDC" w:rsidRDefault="00663B7E" w:rsidP="0051383D">
      <w:pPr>
        <w:pStyle w:val="Prrafodelista"/>
        <w:numPr>
          <w:ilvl w:val="1"/>
          <w:numId w:val="1"/>
        </w:numPr>
        <w:jc w:val="both"/>
        <w:rPr>
          <w:rFonts w:cs="Arial"/>
        </w:rPr>
      </w:pPr>
      <w:r w:rsidRPr="008D7EDC">
        <w:rPr>
          <w:rFonts w:cs="Arial"/>
        </w:rPr>
        <w:t>Cuando se ejecute el compromiso,</w:t>
      </w:r>
    </w:p>
    <w:p w:rsidR="00663B7E" w:rsidRPr="008D7EDC" w:rsidRDefault="00663B7E" w:rsidP="0051383D">
      <w:pPr>
        <w:pStyle w:val="Prrafodelista"/>
        <w:numPr>
          <w:ilvl w:val="0"/>
          <w:numId w:val="1"/>
        </w:numPr>
        <w:jc w:val="both"/>
        <w:rPr>
          <w:rFonts w:cs="Arial"/>
        </w:rPr>
      </w:pPr>
      <w:r w:rsidRPr="008D7EDC">
        <w:rPr>
          <w:rFonts w:cs="Arial"/>
        </w:rPr>
        <w:t>Una inversión en acciones preferentes no convertibles y acciones preferentes u ordinarias sin opción de venta</w:t>
      </w:r>
    </w:p>
    <w:p w:rsidR="0051383D" w:rsidRPr="008D7EDC" w:rsidRDefault="0051383D" w:rsidP="0051383D">
      <w:pPr>
        <w:jc w:val="both"/>
        <w:rPr>
          <w:rFonts w:cs="Arial"/>
        </w:rPr>
      </w:pPr>
      <w:r w:rsidRPr="008D7EDC">
        <w:rPr>
          <w:rFonts w:cs="Arial"/>
        </w:rPr>
        <w:t>RECONOCIMIENTO INICIAL DE LOS ACTIVOS Y PASIVOS FINANCIEROS</w:t>
      </w:r>
    </w:p>
    <w:p w:rsidR="0051383D" w:rsidRPr="008D7EDC" w:rsidRDefault="0051383D" w:rsidP="0051383D">
      <w:pPr>
        <w:jc w:val="both"/>
        <w:rPr>
          <w:rFonts w:cs="Arial"/>
        </w:rPr>
      </w:pPr>
      <w:r w:rsidRPr="008D7EDC">
        <w:rPr>
          <w:rFonts w:cs="Arial"/>
        </w:rPr>
        <w:t>Una entidad reconocerá un activo financiero o un pasivo financiero solo cuando se convierta en una parte según las cláusulas contractuales del instrumento. La medición inicial consta de reconocer un activo o un pasivo financiero a través del prec</w:t>
      </w:r>
      <w:r w:rsidR="008D7EDC" w:rsidRPr="008D7EDC">
        <w:rPr>
          <w:rFonts w:cs="Arial"/>
        </w:rPr>
        <w:t>i</w:t>
      </w:r>
      <w:r w:rsidRPr="008D7EDC">
        <w:rPr>
          <w:rFonts w:cs="Arial"/>
        </w:rPr>
        <w:t xml:space="preserve">o de la transacción a excepción si el acuerdo constituye en efecto, una transacción de </w:t>
      </w:r>
      <w:r w:rsidR="008D7EDC" w:rsidRPr="008D7EDC">
        <w:rPr>
          <w:rFonts w:cs="Arial"/>
        </w:rPr>
        <w:t>financiación. La medición posterior se hace se hace al final de cada periodo sobre el que se informa, estos se medirán a través costo amortizado utilizando el método del interés efectivo, los instrumentos  de deuda que se clasifiquen como activos corrientes o pasivos corrientes se medir al importe no descontado del efectivo u otra contraprestación que se espera pagar o recibir.</w:t>
      </w:r>
    </w:p>
    <w:p w:rsidR="008D7EDC" w:rsidRPr="008D7EDC" w:rsidRDefault="008D7EDC" w:rsidP="0051383D">
      <w:pPr>
        <w:jc w:val="both"/>
        <w:rPr>
          <w:rFonts w:cs="Arial"/>
        </w:rPr>
      </w:pPr>
      <w:r w:rsidRPr="008D7EDC">
        <w:rPr>
          <w:rFonts w:cs="Arial"/>
        </w:rPr>
        <w:t>COSTO AMORTIZADO Y METODO DE INTERES EFECTIVO</w:t>
      </w:r>
    </w:p>
    <w:p w:rsidR="008D7EDC" w:rsidRPr="008D7EDC" w:rsidRDefault="008D7EDC" w:rsidP="008D7EDC">
      <w:pPr>
        <w:jc w:val="both"/>
        <w:rPr>
          <w:rFonts w:cs="Arial"/>
        </w:rPr>
      </w:pPr>
      <w:r w:rsidRPr="008D7EDC">
        <w:rPr>
          <w:rFonts w:cs="Arial"/>
        </w:rPr>
        <w:t xml:space="preserve">El costo amortizado de un activo financiero o un pasivo financiero en cada fecha sobre la que se informa es el neto de los siguientes importes: </w:t>
      </w:r>
    </w:p>
    <w:p w:rsidR="008D7EDC" w:rsidRPr="008D7EDC" w:rsidRDefault="008D7EDC" w:rsidP="008D7EDC">
      <w:pPr>
        <w:jc w:val="both"/>
        <w:rPr>
          <w:rFonts w:cs="Arial"/>
        </w:rPr>
      </w:pPr>
      <w:r w:rsidRPr="008D7EDC">
        <w:rPr>
          <w:rFonts w:cs="Arial"/>
        </w:rPr>
        <w:t>(a) el importe al que se mide en el reconocimiento inicial el activo financiero o el pasivo financiero,</w:t>
      </w:r>
    </w:p>
    <w:p w:rsidR="008D7EDC" w:rsidRPr="008D7EDC" w:rsidRDefault="008D7EDC" w:rsidP="008D7EDC">
      <w:pPr>
        <w:jc w:val="both"/>
        <w:rPr>
          <w:rFonts w:cs="Arial"/>
        </w:rPr>
      </w:pPr>
      <w:r w:rsidRPr="008D7EDC">
        <w:rPr>
          <w:rFonts w:cs="Arial"/>
        </w:rPr>
        <w:t xml:space="preserve">(b) menos los reembolsos del principal, </w:t>
      </w:r>
    </w:p>
    <w:p w:rsidR="008D7EDC" w:rsidRPr="008D7EDC" w:rsidRDefault="008D7EDC" w:rsidP="008D7EDC">
      <w:pPr>
        <w:jc w:val="both"/>
        <w:rPr>
          <w:rFonts w:cs="Arial"/>
        </w:rPr>
      </w:pPr>
      <w:r w:rsidRPr="008D7EDC">
        <w:rPr>
          <w:rFonts w:cs="Arial"/>
        </w:rPr>
        <w:t xml:space="preserve">(c) más o menos la amortización acumulada, utilizando el método del interés efectivo, de cualquier diferencia existente entre el importe en el reconocimiento inicial y el importe al vencimiento, </w:t>
      </w:r>
    </w:p>
    <w:p w:rsidR="008D7EDC" w:rsidRPr="008D7EDC" w:rsidRDefault="008D7EDC" w:rsidP="008D7EDC">
      <w:pPr>
        <w:jc w:val="both"/>
        <w:rPr>
          <w:rFonts w:cs="Arial"/>
        </w:rPr>
      </w:pPr>
      <w:r w:rsidRPr="008D7EDC">
        <w:rPr>
          <w:rFonts w:cs="Arial"/>
        </w:rPr>
        <w:t xml:space="preserve">(d) menos, en el caso de un activo financiero, cualquier reducción (reconocida directamente o mediante </w:t>
      </w:r>
      <w:proofErr w:type="spellStart"/>
      <w:r w:rsidRPr="008D7EDC">
        <w:rPr>
          <w:rFonts w:cs="Arial"/>
        </w:rPr>
        <w:t>eluso</w:t>
      </w:r>
      <w:proofErr w:type="spellEnd"/>
      <w:r w:rsidRPr="008D7EDC">
        <w:rPr>
          <w:rFonts w:cs="Arial"/>
        </w:rPr>
        <w:t xml:space="preserve"> de una cuenta correctora) por deterioro del valor o incobrabilidad. </w:t>
      </w:r>
    </w:p>
    <w:p w:rsidR="008D7EDC" w:rsidRPr="008D7EDC" w:rsidRDefault="008D7EDC" w:rsidP="0051383D">
      <w:pPr>
        <w:jc w:val="both"/>
        <w:rPr>
          <w:rFonts w:cs="Arial"/>
        </w:rPr>
      </w:pPr>
    </w:p>
    <w:p w:rsidR="00BC2BAB" w:rsidRPr="008D7EDC" w:rsidRDefault="00BC2BAB" w:rsidP="0051383D">
      <w:pPr>
        <w:jc w:val="both"/>
      </w:pPr>
      <w:r w:rsidRPr="008D7EDC">
        <w:t>Dentro del deterioro del valor de los instrumentos financieros medidos al costo o al costo de amortizado tenemos:</w:t>
      </w:r>
    </w:p>
    <w:p w:rsidR="00BC2BAB" w:rsidRPr="008D7EDC" w:rsidRDefault="00BC2BAB" w:rsidP="0051383D">
      <w:pPr>
        <w:jc w:val="both"/>
      </w:pPr>
      <w:r w:rsidRPr="008D7EDC">
        <w:t xml:space="preserve">RECONOCOMIENTO: Al final de cada </w:t>
      </w:r>
      <w:r w:rsidR="0051383D" w:rsidRPr="008D7EDC">
        <w:t xml:space="preserve">periodo sobre el que se </w:t>
      </w:r>
      <w:proofErr w:type="spellStart"/>
      <w:r w:rsidR="0051383D" w:rsidRPr="008D7EDC">
        <w:t>informa</w:t>
      </w:r>
      <w:proofErr w:type="gramStart"/>
      <w:r w:rsidRPr="008D7EDC">
        <w:t>,una</w:t>
      </w:r>
      <w:proofErr w:type="spellEnd"/>
      <w:proofErr w:type="gramEnd"/>
      <w:r w:rsidRPr="008D7EDC">
        <w:t xml:space="preserve"> entidad avaluara si existe evidencia objetiva de deterioro del valor de los activos financieros que se miden al costo o al costo de amortizado. Cuando exista  evidencia objetiva de deterioro del valor, la entidad reconocerá inmediatamente una perdida por deterioro del valor en resultados.</w:t>
      </w:r>
    </w:p>
    <w:p w:rsidR="00BC2BAB" w:rsidRPr="008D7EDC" w:rsidRDefault="00BC2BAB" w:rsidP="0051383D">
      <w:pPr>
        <w:pStyle w:val="Prrafodelista"/>
        <w:numPr>
          <w:ilvl w:val="0"/>
          <w:numId w:val="2"/>
        </w:numPr>
        <w:jc w:val="both"/>
      </w:pPr>
      <w:r w:rsidRPr="008D7EDC">
        <w:t>MEDICION</w:t>
      </w:r>
    </w:p>
    <w:p w:rsidR="00BC2BAB" w:rsidRPr="008D7EDC" w:rsidRDefault="00BC2BAB" w:rsidP="0051383D">
      <w:pPr>
        <w:pStyle w:val="Prrafodelista"/>
        <w:numPr>
          <w:ilvl w:val="0"/>
          <w:numId w:val="2"/>
        </w:numPr>
        <w:jc w:val="both"/>
      </w:pPr>
      <w:r w:rsidRPr="008D7EDC">
        <w:t>REVERSION</w:t>
      </w:r>
    </w:p>
    <w:p w:rsidR="00663B7E" w:rsidRPr="008D7EDC" w:rsidRDefault="00BC2BAB" w:rsidP="0051383D">
      <w:pPr>
        <w:pStyle w:val="Prrafodelista"/>
        <w:numPr>
          <w:ilvl w:val="0"/>
          <w:numId w:val="2"/>
        </w:numPr>
        <w:jc w:val="both"/>
      </w:pPr>
      <w:r w:rsidRPr="008D7EDC">
        <w:t xml:space="preserve">VALOR RAZONABLETECNICAS DE VALORACION </w:t>
      </w:r>
    </w:p>
    <w:p w:rsidR="00BC2BAB" w:rsidRPr="008D7EDC" w:rsidRDefault="00BC2BAB" w:rsidP="0051383D">
      <w:pPr>
        <w:jc w:val="both"/>
        <w:rPr>
          <w:b/>
          <w:lang w:val="es-SV"/>
        </w:rPr>
      </w:pPr>
      <w:r w:rsidRPr="008D7EDC">
        <w:rPr>
          <w:b/>
          <w:lang w:val="es-SV"/>
        </w:rPr>
        <w:t xml:space="preserve">Baja en cuentas de un </w:t>
      </w:r>
      <w:proofErr w:type="spellStart"/>
      <w:r w:rsidRPr="008D7EDC">
        <w:rPr>
          <w:b/>
          <w:lang w:val="es-SV"/>
        </w:rPr>
        <w:t>pacivo</w:t>
      </w:r>
      <w:proofErr w:type="spellEnd"/>
      <w:r w:rsidRPr="008D7EDC">
        <w:rPr>
          <w:b/>
          <w:lang w:val="es-SV"/>
        </w:rPr>
        <w:t xml:space="preserve"> financiero</w:t>
      </w:r>
    </w:p>
    <w:p w:rsidR="00BC2BAB" w:rsidRPr="008D7EDC" w:rsidRDefault="00BC2BAB" w:rsidP="0051383D">
      <w:pPr>
        <w:numPr>
          <w:ilvl w:val="0"/>
          <w:numId w:val="3"/>
        </w:numPr>
        <w:jc w:val="both"/>
        <w:rPr>
          <w:lang w:val="es-SV"/>
        </w:rPr>
      </w:pPr>
      <w:r w:rsidRPr="008D7EDC">
        <w:rPr>
          <w:lang w:val="es-SV"/>
        </w:rPr>
        <w:t xml:space="preserve">11.36 una entidad solo </w:t>
      </w:r>
      <w:proofErr w:type="spellStart"/>
      <w:r w:rsidRPr="008D7EDC">
        <w:rPr>
          <w:lang w:val="es-SV"/>
        </w:rPr>
        <w:t>dara</w:t>
      </w:r>
      <w:proofErr w:type="spellEnd"/>
      <w:r w:rsidRPr="008D7EDC">
        <w:rPr>
          <w:lang w:val="es-SV"/>
        </w:rPr>
        <w:t xml:space="preserve"> de baja en cuentas de pasivo financiero cuando se haya extinguido(ya sea que se haya </w:t>
      </w:r>
      <w:proofErr w:type="spellStart"/>
      <w:r w:rsidRPr="008D7EDC">
        <w:rPr>
          <w:lang w:val="es-SV"/>
        </w:rPr>
        <w:t>pagado,cancelada</w:t>
      </w:r>
      <w:proofErr w:type="spellEnd"/>
      <w:r w:rsidRPr="008D7EDC">
        <w:rPr>
          <w:lang w:val="es-SV"/>
        </w:rPr>
        <w:t xml:space="preserve"> o haya expirado)</w:t>
      </w:r>
    </w:p>
    <w:p w:rsidR="00BC2BAB" w:rsidRPr="008D7EDC" w:rsidRDefault="00BC2BAB" w:rsidP="0051383D">
      <w:pPr>
        <w:numPr>
          <w:ilvl w:val="0"/>
          <w:numId w:val="3"/>
        </w:numPr>
        <w:jc w:val="both"/>
        <w:rPr>
          <w:lang w:val="es-SV"/>
        </w:rPr>
      </w:pPr>
      <w:r w:rsidRPr="008D7EDC">
        <w:rPr>
          <w:lang w:val="es-SV"/>
        </w:rPr>
        <w:t xml:space="preserve">11.37si un prestamista y un prestatario intercambian instrumentos financieros con condiciones sustancialmente diferentes, las entidades contabilizaran la </w:t>
      </w:r>
      <w:proofErr w:type="spellStart"/>
      <w:r w:rsidRPr="008D7EDC">
        <w:rPr>
          <w:lang w:val="es-SV"/>
        </w:rPr>
        <w:t>transaccion</w:t>
      </w:r>
      <w:proofErr w:type="spellEnd"/>
      <w:r w:rsidRPr="008D7EDC">
        <w:rPr>
          <w:lang w:val="es-SV"/>
        </w:rPr>
        <w:t xml:space="preserve"> como una </w:t>
      </w:r>
      <w:proofErr w:type="spellStart"/>
      <w:r w:rsidRPr="008D7EDC">
        <w:rPr>
          <w:lang w:val="es-SV"/>
        </w:rPr>
        <w:t>cancelacion</w:t>
      </w:r>
      <w:proofErr w:type="spellEnd"/>
      <w:r w:rsidRPr="008D7EDC">
        <w:rPr>
          <w:lang w:val="es-SV"/>
        </w:rPr>
        <w:t xml:space="preserve"> del pasivo original y el reconocimiento de uno nuevo.</w:t>
      </w:r>
    </w:p>
    <w:p w:rsidR="00BC2BAB" w:rsidRPr="008D7EDC" w:rsidRDefault="00BC2BAB" w:rsidP="0051383D">
      <w:pPr>
        <w:jc w:val="both"/>
        <w:rPr>
          <w:b/>
          <w:lang w:val="es-SV"/>
        </w:rPr>
      </w:pPr>
      <w:r w:rsidRPr="008D7EDC">
        <w:rPr>
          <w:b/>
          <w:lang w:val="es-SV"/>
        </w:rPr>
        <w:t xml:space="preserve">Estado de </w:t>
      </w:r>
      <w:proofErr w:type="spellStart"/>
      <w:r w:rsidRPr="008D7EDC">
        <w:rPr>
          <w:b/>
          <w:lang w:val="es-SV"/>
        </w:rPr>
        <w:t>Situacion</w:t>
      </w:r>
      <w:proofErr w:type="spellEnd"/>
      <w:r w:rsidRPr="008D7EDC">
        <w:rPr>
          <w:b/>
          <w:lang w:val="es-SV"/>
        </w:rPr>
        <w:t xml:space="preserve"> Financiera-</w:t>
      </w:r>
      <w:proofErr w:type="spellStart"/>
      <w:r w:rsidRPr="008D7EDC">
        <w:rPr>
          <w:b/>
          <w:lang w:val="es-SV"/>
        </w:rPr>
        <w:t>categoria</w:t>
      </w:r>
      <w:proofErr w:type="spellEnd"/>
      <w:r w:rsidRPr="008D7EDC">
        <w:rPr>
          <w:b/>
          <w:lang w:val="es-SV"/>
        </w:rPr>
        <w:t xml:space="preserve"> de activos financieros y pasivos financieros </w:t>
      </w:r>
    </w:p>
    <w:p w:rsidR="00BC2BAB" w:rsidRPr="008D7EDC" w:rsidRDefault="00BC2BAB" w:rsidP="0051383D">
      <w:pPr>
        <w:numPr>
          <w:ilvl w:val="0"/>
          <w:numId w:val="4"/>
        </w:numPr>
        <w:jc w:val="both"/>
        <w:rPr>
          <w:lang w:val="es-SV"/>
        </w:rPr>
      </w:pPr>
      <w:r w:rsidRPr="008D7EDC">
        <w:rPr>
          <w:lang w:val="es-SV"/>
        </w:rPr>
        <w:t xml:space="preserve">11.42 una entidad revelara </w:t>
      </w:r>
      <w:proofErr w:type="spellStart"/>
      <w:r w:rsidRPr="008D7EDC">
        <w:rPr>
          <w:lang w:val="es-SV"/>
        </w:rPr>
        <w:t>informacion</w:t>
      </w:r>
      <w:proofErr w:type="spellEnd"/>
      <w:r w:rsidRPr="008D7EDC">
        <w:rPr>
          <w:lang w:val="es-SV"/>
        </w:rPr>
        <w:t xml:space="preserve"> que permita a los usuarios de sus estados financieros evaluar la significatividad de los instrumentos financieros  en su </w:t>
      </w:r>
      <w:proofErr w:type="spellStart"/>
      <w:r w:rsidRPr="008D7EDC">
        <w:rPr>
          <w:lang w:val="es-SV"/>
        </w:rPr>
        <w:t>situacion</w:t>
      </w:r>
      <w:proofErr w:type="spellEnd"/>
      <w:r w:rsidRPr="008D7EDC">
        <w:rPr>
          <w:lang w:val="es-SV"/>
        </w:rPr>
        <w:t xml:space="preserve"> financiera y en su rendimiento</w:t>
      </w:r>
    </w:p>
    <w:p w:rsidR="00BC2BAB" w:rsidRPr="008D7EDC" w:rsidRDefault="00BC2BAB" w:rsidP="0051383D">
      <w:pPr>
        <w:jc w:val="both"/>
        <w:rPr>
          <w:rFonts w:cs="Arial"/>
          <w:b/>
        </w:rPr>
      </w:pPr>
      <w:r w:rsidRPr="008D7EDC">
        <w:rPr>
          <w:rFonts w:cs="Arial"/>
          <w:b/>
        </w:rPr>
        <w:t>Los alcances de la sección 11 y 12.</w:t>
      </w:r>
    </w:p>
    <w:p w:rsidR="00BC2BAB" w:rsidRPr="008D7EDC" w:rsidRDefault="00BC2BAB" w:rsidP="0051383D">
      <w:pPr>
        <w:jc w:val="both"/>
        <w:rPr>
          <w:rFonts w:cs="Arial"/>
        </w:rPr>
      </w:pPr>
      <w:r w:rsidRPr="008D7EDC">
        <w:rPr>
          <w:rFonts w:cs="Arial"/>
        </w:rPr>
        <w:t>La sección 11 es aplicada en instrumentos financieros básicos sin embargo la sección 12 es aplicada en otros temas relacionados con los instrumentos  conjuntamente tratan del reconocimiento, baja en cuenta, medición e información a rebelar de los instrumentos financieros (activos financieros y pasivos financieros). Sin embargo en las elecciones de políticas contables una entidad elegirá aplicar: * la disposiciones de ambas secciones 11 y 12 en su totalidad, * las disposiciones sobre reconocimiento de la NIC 39. Los alcances de la sección 12 se aplicaran a todos los instrumentos financieros excepto: los tratados en la sección 11, las participaciones en subsidiarias entre otros.</w:t>
      </w:r>
    </w:p>
    <w:p w:rsidR="00BC2BAB" w:rsidRPr="008D7EDC" w:rsidRDefault="00BC2BAB" w:rsidP="0051383D">
      <w:pPr>
        <w:jc w:val="both"/>
      </w:pPr>
    </w:p>
    <w:p w:rsidR="00181FD4" w:rsidRPr="008D7EDC" w:rsidRDefault="00181FD4" w:rsidP="0051383D">
      <w:pPr>
        <w:jc w:val="both"/>
        <w:rPr>
          <w:rFonts w:ascii="Arial" w:hAnsi="Arial" w:cs="Arial"/>
        </w:rPr>
      </w:pPr>
      <w:r w:rsidRPr="008D7EDC">
        <w:rPr>
          <w:rFonts w:ascii="Arial" w:hAnsi="Arial" w:cs="Arial"/>
        </w:rPr>
        <w:br w:type="page"/>
      </w:r>
    </w:p>
    <w:p w:rsidR="001E5E5B" w:rsidRPr="0051383D" w:rsidRDefault="00181FD4" w:rsidP="0051383D">
      <w:pPr>
        <w:pStyle w:val="Ttulo"/>
        <w:jc w:val="both"/>
        <w:rPr>
          <w:sz w:val="56"/>
        </w:rPr>
      </w:pPr>
      <w:r w:rsidRPr="0051383D">
        <w:rPr>
          <w:sz w:val="56"/>
        </w:rPr>
        <w:lastRenderedPageBreak/>
        <w:t>CUESTIONARIO</w:t>
      </w:r>
    </w:p>
    <w:p w:rsidR="00181FD4" w:rsidRDefault="00580234" w:rsidP="0051383D">
      <w:pPr>
        <w:pStyle w:val="Sinespaciado"/>
        <w:numPr>
          <w:ilvl w:val="0"/>
          <w:numId w:val="7"/>
        </w:numPr>
        <w:jc w:val="both"/>
        <w:rPr>
          <w:sz w:val="24"/>
        </w:rPr>
      </w:pPr>
      <w:r w:rsidRPr="0051383D">
        <w:rPr>
          <w:sz w:val="24"/>
        </w:rPr>
        <w:t>¿Qué</w:t>
      </w:r>
      <w:r w:rsidR="00E3653D" w:rsidRPr="0051383D">
        <w:rPr>
          <w:sz w:val="24"/>
        </w:rPr>
        <w:t xml:space="preserve"> es un </w:t>
      </w:r>
      <w:r w:rsidR="00084630" w:rsidRPr="0051383D">
        <w:rPr>
          <w:sz w:val="24"/>
        </w:rPr>
        <w:t>instrumento</w:t>
      </w:r>
      <w:r w:rsidR="00E3653D" w:rsidRPr="0051383D">
        <w:rPr>
          <w:sz w:val="24"/>
        </w:rPr>
        <w:t xml:space="preserve"> financiero?</w:t>
      </w:r>
    </w:p>
    <w:p w:rsidR="006D7DF5" w:rsidRPr="0051383D" w:rsidRDefault="006D7DF5" w:rsidP="006D7DF5">
      <w:pPr>
        <w:pStyle w:val="Sinespaciado"/>
        <w:ind w:left="720"/>
        <w:jc w:val="both"/>
        <w:rPr>
          <w:sz w:val="24"/>
        </w:rPr>
      </w:pPr>
    </w:p>
    <w:p w:rsidR="00E3653D" w:rsidRPr="0051383D" w:rsidRDefault="00E3653D" w:rsidP="0051383D">
      <w:pPr>
        <w:pStyle w:val="Sinespaciado"/>
        <w:jc w:val="both"/>
        <w:rPr>
          <w:sz w:val="24"/>
        </w:rPr>
      </w:pPr>
      <w:r w:rsidRPr="0051383D">
        <w:rPr>
          <w:sz w:val="24"/>
        </w:rPr>
        <w:t>R// Es un contrato que da lugar a un activo financiero de una entidad y a un pasivo financiero o a un instrumento de patrimonio de otra</w:t>
      </w:r>
    </w:p>
    <w:p w:rsidR="00580234" w:rsidRPr="0051383D" w:rsidRDefault="00580234" w:rsidP="0051383D">
      <w:pPr>
        <w:pStyle w:val="Sinespaciado"/>
        <w:jc w:val="both"/>
        <w:rPr>
          <w:sz w:val="24"/>
        </w:rPr>
      </w:pPr>
    </w:p>
    <w:p w:rsidR="00580234" w:rsidRDefault="00580234" w:rsidP="0051383D">
      <w:pPr>
        <w:pStyle w:val="Sinespaciado"/>
        <w:numPr>
          <w:ilvl w:val="0"/>
          <w:numId w:val="7"/>
        </w:numPr>
        <w:jc w:val="both"/>
        <w:rPr>
          <w:sz w:val="24"/>
        </w:rPr>
      </w:pPr>
      <w:r w:rsidRPr="0051383D">
        <w:rPr>
          <w:sz w:val="24"/>
        </w:rPr>
        <w:t>¿Qué es un activo y pasivo financiero?</w:t>
      </w:r>
    </w:p>
    <w:p w:rsidR="006D7DF5" w:rsidRPr="0051383D" w:rsidRDefault="006D7DF5" w:rsidP="006D7DF5">
      <w:pPr>
        <w:pStyle w:val="Sinespaciado"/>
        <w:ind w:left="720"/>
        <w:jc w:val="both"/>
        <w:rPr>
          <w:sz w:val="24"/>
        </w:rPr>
      </w:pPr>
    </w:p>
    <w:p w:rsidR="00723067" w:rsidRPr="0051383D" w:rsidRDefault="00723067" w:rsidP="0051383D">
      <w:pPr>
        <w:pStyle w:val="Sinespaciado"/>
        <w:jc w:val="both"/>
        <w:rPr>
          <w:sz w:val="24"/>
        </w:rPr>
      </w:pPr>
      <w:r w:rsidRPr="0051383D">
        <w:rPr>
          <w:sz w:val="24"/>
        </w:rPr>
        <w:t xml:space="preserve">R// </w:t>
      </w:r>
      <w:r w:rsidRPr="0051383D">
        <w:rPr>
          <w:sz w:val="24"/>
        </w:rPr>
        <w:tab/>
        <w:t>Activo financiero: es un activo intangible materializado en un título o simplemente en una anotación contable por el que el contador del título adquiere el derecho a recibir un ingreso fututo de parte del vendedor.</w:t>
      </w:r>
    </w:p>
    <w:p w:rsidR="00723067" w:rsidRPr="0051383D" w:rsidRDefault="00723067" w:rsidP="0051383D">
      <w:pPr>
        <w:pStyle w:val="Sinespaciado"/>
        <w:jc w:val="both"/>
        <w:rPr>
          <w:sz w:val="24"/>
        </w:rPr>
      </w:pPr>
    </w:p>
    <w:p w:rsidR="00723067" w:rsidRPr="0051383D" w:rsidRDefault="00723067" w:rsidP="0051383D">
      <w:pPr>
        <w:pStyle w:val="Sinespaciado"/>
        <w:jc w:val="both"/>
        <w:rPr>
          <w:sz w:val="24"/>
        </w:rPr>
      </w:pPr>
      <w:r w:rsidRPr="0051383D">
        <w:rPr>
          <w:sz w:val="24"/>
        </w:rPr>
        <w:tab/>
        <w:t>Pasivo financiero: es la obligación de devolución de dinero y pago de rendimiento contraído con otra persona o entidad.</w:t>
      </w:r>
    </w:p>
    <w:p w:rsidR="00084630" w:rsidRPr="0051383D" w:rsidRDefault="00084630" w:rsidP="0051383D">
      <w:pPr>
        <w:pStyle w:val="Sinespaciado"/>
        <w:jc w:val="both"/>
        <w:rPr>
          <w:sz w:val="24"/>
        </w:rPr>
      </w:pPr>
    </w:p>
    <w:p w:rsidR="00084630" w:rsidRDefault="00084630" w:rsidP="0051383D">
      <w:pPr>
        <w:pStyle w:val="Sinespaciado"/>
        <w:numPr>
          <w:ilvl w:val="0"/>
          <w:numId w:val="7"/>
        </w:numPr>
        <w:jc w:val="both"/>
        <w:rPr>
          <w:sz w:val="24"/>
        </w:rPr>
      </w:pPr>
      <w:r w:rsidRPr="0051383D">
        <w:rPr>
          <w:sz w:val="24"/>
        </w:rPr>
        <w:t>¿Cuándo se le exige a una entidad emplear el valor presente?</w:t>
      </w:r>
    </w:p>
    <w:p w:rsidR="006D7DF5" w:rsidRPr="0051383D" w:rsidRDefault="006D7DF5" w:rsidP="006D7DF5">
      <w:pPr>
        <w:pStyle w:val="Sinespaciado"/>
        <w:ind w:left="720"/>
        <w:jc w:val="both"/>
        <w:rPr>
          <w:sz w:val="24"/>
        </w:rPr>
      </w:pPr>
      <w:bookmarkStart w:id="0" w:name="_GoBack"/>
      <w:bookmarkEnd w:id="0"/>
    </w:p>
    <w:p w:rsidR="00084630" w:rsidRPr="0051383D" w:rsidRDefault="00084630" w:rsidP="0051383D">
      <w:pPr>
        <w:pStyle w:val="Sinespaciado"/>
        <w:jc w:val="both"/>
        <w:rPr>
          <w:sz w:val="24"/>
        </w:rPr>
      </w:pPr>
      <w:r w:rsidRPr="0051383D">
        <w:rPr>
          <w:sz w:val="24"/>
        </w:rPr>
        <w:t>R//En la mayoría de los casos, los instrumentos financieros se miden, en el reconocimiento inicial, a su precio de transacción.</w:t>
      </w:r>
    </w:p>
    <w:p w:rsidR="00084630" w:rsidRPr="0051383D" w:rsidRDefault="00084630" w:rsidP="0051383D">
      <w:pPr>
        <w:pStyle w:val="Sinespaciado"/>
        <w:jc w:val="both"/>
        <w:rPr>
          <w:sz w:val="24"/>
        </w:rPr>
      </w:pPr>
    </w:p>
    <w:p w:rsidR="00E47C80" w:rsidRDefault="00E47C80" w:rsidP="0051383D">
      <w:pPr>
        <w:pStyle w:val="Sinespaciado"/>
        <w:numPr>
          <w:ilvl w:val="0"/>
          <w:numId w:val="7"/>
        </w:numPr>
        <w:jc w:val="both"/>
        <w:rPr>
          <w:sz w:val="24"/>
        </w:rPr>
      </w:pPr>
      <w:r w:rsidRPr="0051383D">
        <w:rPr>
          <w:sz w:val="24"/>
        </w:rPr>
        <w:t xml:space="preserve">¿Cuáles son los costos de transacción? </w:t>
      </w:r>
    </w:p>
    <w:p w:rsidR="006D7DF5" w:rsidRPr="0051383D" w:rsidRDefault="006D7DF5" w:rsidP="006D7DF5">
      <w:pPr>
        <w:pStyle w:val="Sinespaciado"/>
        <w:ind w:left="720"/>
        <w:jc w:val="both"/>
        <w:rPr>
          <w:sz w:val="24"/>
        </w:rPr>
      </w:pPr>
    </w:p>
    <w:p w:rsidR="00E47C80" w:rsidRPr="0051383D" w:rsidRDefault="00E47C80" w:rsidP="0051383D">
      <w:pPr>
        <w:pStyle w:val="Sinespaciado"/>
        <w:jc w:val="both"/>
        <w:rPr>
          <w:sz w:val="24"/>
        </w:rPr>
      </w:pPr>
      <w:r w:rsidRPr="0051383D">
        <w:rPr>
          <w:sz w:val="24"/>
        </w:rPr>
        <w:t>Costos de transacción son los costos incrementales directamente atribuibles a la compra, emisión, venta o disposición por otra vía de un activo o pasivo financiero. Un costo incremental es aquel que se habría evitado  si la entidad no hubiese adquirido, emitido o dispuesto del instrumento financiero.</w:t>
      </w:r>
    </w:p>
    <w:p w:rsidR="00723067" w:rsidRPr="0051383D" w:rsidRDefault="00723067" w:rsidP="0051383D">
      <w:pPr>
        <w:pStyle w:val="Sinespaciado"/>
        <w:jc w:val="both"/>
        <w:rPr>
          <w:sz w:val="24"/>
        </w:rPr>
      </w:pPr>
    </w:p>
    <w:p w:rsidR="00723067" w:rsidRDefault="00723067" w:rsidP="0051383D">
      <w:pPr>
        <w:pStyle w:val="Prrafodelista"/>
        <w:numPr>
          <w:ilvl w:val="0"/>
          <w:numId w:val="7"/>
        </w:numPr>
        <w:jc w:val="both"/>
        <w:rPr>
          <w:sz w:val="24"/>
        </w:rPr>
      </w:pPr>
      <w:r w:rsidRPr="0051383D">
        <w:rPr>
          <w:sz w:val="24"/>
        </w:rPr>
        <w:t>¿Cuándo entidad Dara de baja en cuentas de activos financieros solo cuándo?:</w:t>
      </w:r>
    </w:p>
    <w:p w:rsidR="006D7DF5" w:rsidRPr="0051383D" w:rsidRDefault="006D7DF5" w:rsidP="006D7DF5">
      <w:pPr>
        <w:pStyle w:val="Prrafodelista"/>
        <w:jc w:val="both"/>
        <w:rPr>
          <w:sz w:val="24"/>
        </w:rPr>
      </w:pPr>
    </w:p>
    <w:p w:rsidR="00723067" w:rsidRPr="0051383D" w:rsidRDefault="00723067" w:rsidP="0051383D">
      <w:pPr>
        <w:pStyle w:val="Prrafodelista"/>
        <w:numPr>
          <w:ilvl w:val="0"/>
          <w:numId w:val="5"/>
        </w:numPr>
        <w:jc w:val="both"/>
        <w:rPr>
          <w:sz w:val="24"/>
        </w:rPr>
      </w:pPr>
      <w:r w:rsidRPr="0051383D">
        <w:rPr>
          <w:sz w:val="24"/>
        </w:rPr>
        <w:t>expiren o  se liquiden los derechos contractuales sobre los flujos de efectivo del activo financiero, o</w:t>
      </w:r>
    </w:p>
    <w:p w:rsidR="00723067" w:rsidRDefault="00723067" w:rsidP="0051383D">
      <w:pPr>
        <w:pStyle w:val="Prrafodelista"/>
        <w:numPr>
          <w:ilvl w:val="0"/>
          <w:numId w:val="5"/>
        </w:numPr>
        <w:jc w:val="both"/>
        <w:rPr>
          <w:sz w:val="24"/>
        </w:rPr>
      </w:pPr>
      <w:r w:rsidRPr="0051383D">
        <w:rPr>
          <w:sz w:val="24"/>
        </w:rPr>
        <w:t>la entidad transfiera  sustancialmente a terceros todos los riesgos y ventajas inherentes a la propiedad del activo financiero</w:t>
      </w:r>
    </w:p>
    <w:p w:rsidR="006D7DF5" w:rsidRDefault="006D7DF5" w:rsidP="006D7DF5">
      <w:pPr>
        <w:jc w:val="both"/>
        <w:rPr>
          <w:sz w:val="24"/>
        </w:rPr>
      </w:pPr>
    </w:p>
    <w:p w:rsidR="006D7DF5" w:rsidRPr="006D7DF5" w:rsidRDefault="006D7DF5" w:rsidP="006D7DF5">
      <w:pPr>
        <w:jc w:val="both"/>
        <w:rPr>
          <w:sz w:val="24"/>
        </w:rPr>
      </w:pPr>
    </w:p>
    <w:p w:rsidR="006D7DF5" w:rsidRDefault="006D7DF5" w:rsidP="006D7DF5">
      <w:pPr>
        <w:pStyle w:val="Sinespaciado"/>
        <w:numPr>
          <w:ilvl w:val="0"/>
          <w:numId w:val="7"/>
        </w:numPr>
        <w:jc w:val="both"/>
        <w:rPr>
          <w:sz w:val="24"/>
        </w:rPr>
      </w:pPr>
      <w:r w:rsidRPr="006D7DF5">
        <w:rPr>
          <w:sz w:val="24"/>
        </w:rPr>
        <w:lastRenderedPageBreak/>
        <w:t>¿Por qué solamente se reconoce deterioro en los activos financieros medidos a costo o costo amortizado?</w:t>
      </w:r>
    </w:p>
    <w:p w:rsidR="006D7DF5" w:rsidRDefault="006D7DF5" w:rsidP="006D7DF5">
      <w:pPr>
        <w:pStyle w:val="Sinespaciado"/>
        <w:ind w:left="720"/>
        <w:jc w:val="both"/>
        <w:rPr>
          <w:sz w:val="24"/>
        </w:rPr>
      </w:pPr>
    </w:p>
    <w:p w:rsidR="0051383D" w:rsidRDefault="006D7DF5" w:rsidP="006D7DF5">
      <w:pPr>
        <w:pStyle w:val="Sinespaciado"/>
        <w:jc w:val="both"/>
        <w:rPr>
          <w:sz w:val="24"/>
        </w:rPr>
      </w:pPr>
      <w:r w:rsidRPr="006D7DF5">
        <w:rPr>
          <w:sz w:val="24"/>
        </w:rPr>
        <w:t>Porque cuando se mide a valor razonable éste ya incorpora esos cambios en el valor y no se puede contabilizar dos veces.</w:t>
      </w:r>
    </w:p>
    <w:p w:rsidR="006D7DF5" w:rsidRDefault="006D7DF5" w:rsidP="006D7DF5">
      <w:pPr>
        <w:pStyle w:val="Sinespaciado"/>
        <w:jc w:val="both"/>
        <w:rPr>
          <w:sz w:val="24"/>
        </w:rPr>
      </w:pPr>
    </w:p>
    <w:p w:rsidR="006D7DF5" w:rsidRDefault="006D7DF5" w:rsidP="006D7DF5">
      <w:pPr>
        <w:pStyle w:val="Sinespaciado"/>
        <w:numPr>
          <w:ilvl w:val="0"/>
          <w:numId w:val="7"/>
        </w:numPr>
        <w:jc w:val="both"/>
        <w:rPr>
          <w:sz w:val="24"/>
        </w:rPr>
      </w:pPr>
      <w:r w:rsidRPr="006D7DF5">
        <w:rPr>
          <w:sz w:val="24"/>
        </w:rPr>
        <w:t xml:space="preserve">¿Qué es des-reconocimiento? </w:t>
      </w:r>
    </w:p>
    <w:p w:rsidR="006D7DF5" w:rsidRDefault="006D7DF5" w:rsidP="006D7DF5">
      <w:pPr>
        <w:pStyle w:val="Sinespaciado"/>
        <w:ind w:left="720"/>
        <w:jc w:val="both"/>
        <w:rPr>
          <w:sz w:val="24"/>
        </w:rPr>
      </w:pPr>
    </w:p>
    <w:p w:rsidR="006D7DF5" w:rsidRDefault="006D7DF5" w:rsidP="006D7DF5">
      <w:pPr>
        <w:pStyle w:val="Sinespaciado"/>
        <w:jc w:val="both"/>
        <w:rPr>
          <w:sz w:val="24"/>
        </w:rPr>
      </w:pPr>
      <w:r w:rsidRPr="006D7DF5">
        <w:rPr>
          <w:sz w:val="24"/>
        </w:rPr>
        <w:t>Es la remoción o eliminación de un activo o pasivo previamente reconocido en el estado de posición financiera de la entidad. Tradicionalmente ha sido</w:t>
      </w:r>
      <w:r>
        <w:rPr>
          <w:sz w:val="24"/>
        </w:rPr>
        <w:t xml:space="preserve"> conocido como ‘baja en cuenta.</w:t>
      </w:r>
    </w:p>
    <w:p w:rsidR="006D7DF5" w:rsidRPr="0051383D" w:rsidRDefault="006D7DF5" w:rsidP="006D7DF5">
      <w:pPr>
        <w:pStyle w:val="Sinespaciado"/>
        <w:jc w:val="both"/>
        <w:rPr>
          <w:sz w:val="24"/>
        </w:rPr>
      </w:pPr>
    </w:p>
    <w:p w:rsidR="0051383D" w:rsidRPr="0051383D" w:rsidRDefault="0051383D" w:rsidP="0051383D">
      <w:pPr>
        <w:pStyle w:val="Prrafodelista"/>
        <w:numPr>
          <w:ilvl w:val="0"/>
          <w:numId w:val="10"/>
        </w:numPr>
        <w:jc w:val="both"/>
        <w:rPr>
          <w:rFonts w:eastAsia="Calibri" w:cs="Arial"/>
          <w:sz w:val="24"/>
          <w:lang w:val="es-SV"/>
        </w:rPr>
      </w:pPr>
      <w:r w:rsidRPr="0051383D">
        <w:rPr>
          <w:rFonts w:eastAsia="Calibri" w:cs="Arial"/>
          <w:sz w:val="24"/>
          <w:lang w:val="es-SV"/>
        </w:rPr>
        <w:t xml:space="preserve">¿La sección 11 es aplicable a? </w:t>
      </w:r>
    </w:p>
    <w:p w:rsidR="0051383D" w:rsidRPr="006D7DF5" w:rsidRDefault="0051383D" w:rsidP="006D7DF5">
      <w:pPr>
        <w:jc w:val="both"/>
        <w:rPr>
          <w:rFonts w:eastAsia="Calibri" w:cs="Arial"/>
          <w:sz w:val="24"/>
          <w:lang w:val="es-SV"/>
        </w:rPr>
      </w:pPr>
      <w:r w:rsidRPr="006D7DF5">
        <w:rPr>
          <w:rFonts w:eastAsia="Calibri" w:cs="Arial"/>
          <w:sz w:val="24"/>
          <w:lang w:val="es-SV"/>
        </w:rPr>
        <w:t xml:space="preserve">Los instrumentos financieros básicos </w:t>
      </w:r>
    </w:p>
    <w:p w:rsidR="0051383D" w:rsidRPr="0051383D" w:rsidRDefault="0051383D" w:rsidP="0051383D">
      <w:pPr>
        <w:pStyle w:val="Prrafodelista"/>
        <w:jc w:val="both"/>
        <w:rPr>
          <w:rFonts w:eastAsia="Calibri" w:cs="Arial"/>
          <w:sz w:val="24"/>
          <w:lang w:val="es-SV"/>
        </w:rPr>
      </w:pPr>
    </w:p>
    <w:p w:rsidR="006D7DF5" w:rsidRDefault="0051383D" w:rsidP="006D7DF5">
      <w:pPr>
        <w:pStyle w:val="Prrafodelista"/>
        <w:numPr>
          <w:ilvl w:val="0"/>
          <w:numId w:val="10"/>
        </w:numPr>
        <w:jc w:val="both"/>
        <w:rPr>
          <w:rFonts w:eastAsia="Calibri" w:cs="Arial"/>
          <w:sz w:val="24"/>
          <w:lang w:val="es-SV"/>
        </w:rPr>
      </w:pPr>
      <w:r w:rsidRPr="0051383D">
        <w:rPr>
          <w:rFonts w:eastAsia="Calibri" w:cs="Arial"/>
          <w:sz w:val="24"/>
          <w:lang w:val="es-SV"/>
        </w:rPr>
        <w:t>¿la sección 12 es aplicable a todos los instrumentos financieros excepto?</w:t>
      </w:r>
    </w:p>
    <w:p w:rsidR="00084630" w:rsidRDefault="0051383D" w:rsidP="006D7DF5">
      <w:pPr>
        <w:jc w:val="both"/>
        <w:rPr>
          <w:rFonts w:eastAsia="Calibri" w:cs="Arial"/>
          <w:sz w:val="24"/>
          <w:lang w:val="es-SV"/>
        </w:rPr>
      </w:pPr>
      <w:r w:rsidRPr="006D7DF5">
        <w:rPr>
          <w:rFonts w:eastAsia="Calibri" w:cs="Arial"/>
          <w:sz w:val="24"/>
          <w:lang w:val="es-SV"/>
        </w:rPr>
        <w:t xml:space="preserve">Los tratados en la sección 11, la participación en subsidiarias, los contratos por el contrario prestación contingente </w:t>
      </w:r>
      <w:r w:rsidR="006D7DF5">
        <w:rPr>
          <w:rFonts w:eastAsia="Calibri" w:cs="Arial"/>
          <w:sz w:val="24"/>
          <w:lang w:val="es-SV"/>
        </w:rPr>
        <w:t>en una combinación  de negocios.</w:t>
      </w:r>
    </w:p>
    <w:p w:rsidR="006D7DF5" w:rsidRDefault="006D7DF5" w:rsidP="006D7DF5">
      <w:pPr>
        <w:jc w:val="both"/>
        <w:rPr>
          <w:rFonts w:eastAsia="Calibri" w:cs="Arial"/>
          <w:sz w:val="24"/>
          <w:lang w:val="es-SV"/>
        </w:rPr>
      </w:pPr>
    </w:p>
    <w:p w:rsidR="006D7DF5" w:rsidRDefault="006D7DF5" w:rsidP="006D7DF5">
      <w:pPr>
        <w:pStyle w:val="Prrafodelista"/>
        <w:numPr>
          <w:ilvl w:val="0"/>
          <w:numId w:val="10"/>
        </w:numPr>
        <w:jc w:val="both"/>
        <w:rPr>
          <w:rFonts w:eastAsia="Calibri" w:cs="Arial"/>
          <w:sz w:val="24"/>
          <w:lang w:val="es-SV"/>
        </w:rPr>
      </w:pPr>
      <w:r>
        <w:rPr>
          <w:rFonts w:eastAsia="Calibri" w:cs="Arial"/>
          <w:sz w:val="24"/>
          <w:lang w:val="es-SV"/>
        </w:rPr>
        <w:t>¿Qué permite la contabilidad de coberturas?</w:t>
      </w:r>
    </w:p>
    <w:p w:rsidR="006D7DF5" w:rsidRPr="006D7DF5" w:rsidRDefault="006D7DF5" w:rsidP="006D7DF5">
      <w:pPr>
        <w:jc w:val="both"/>
        <w:rPr>
          <w:rFonts w:eastAsia="Calibri" w:cs="Arial"/>
          <w:sz w:val="24"/>
          <w:lang w:val="es-SV"/>
        </w:rPr>
      </w:pPr>
      <w:r>
        <w:rPr>
          <w:rFonts w:eastAsia="Calibri" w:cs="Arial"/>
          <w:sz w:val="24"/>
          <w:lang w:val="es-SV"/>
        </w:rPr>
        <w:t xml:space="preserve">Permite que se reconozcan en  los resultados al mismo tiempo la ganancia o </w:t>
      </w:r>
      <w:proofErr w:type="spellStart"/>
      <w:proofErr w:type="gramStart"/>
      <w:r>
        <w:rPr>
          <w:rFonts w:eastAsia="Calibri" w:cs="Arial"/>
          <w:sz w:val="24"/>
          <w:lang w:val="es-SV"/>
        </w:rPr>
        <w:t>perdida</w:t>
      </w:r>
      <w:proofErr w:type="spellEnd"/>
      <w:proofErr w:type="gramEnd"/>
      <w:r>
        <w:rPr>
          <w:rFonts w:eastAsia="Calibri" w:cs="Arial"/>
          <w:sz w:val="24"/>
          <w:lang w:val="es-SV"/>
        </w:rPr>
        <w:t xml:space="preserve"> en el instrumento de cobertura y en la partida cubierta.</w:t>
      </w:r>
    </w:p>
    <w:sectPr w:rsidR="006D7DF5" w:rsidRPr="006D7DF5" w:rsidSect="00125962">
      <w:pgSz w:w="12242" w:h="15842" w:code="1"/>
      <w:pgMar w:top="1701" w:right="1701" w:bottom="170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16535"/>
    <w:multiLevelType w:val="hybridMultilevel"/>
    <w:tmpl w:val="C804C7E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73C8C"/>
    <w:multiLevelType w:val="hybridMultilevel"/>
    <w:tmpl w:val="FF0C3C3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535547B"/>
    <w:multiLevelType w:val="hybridMultilevel"/>
    <w:tmpl w:val="55FAF0DA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BF6FFD"/>
    <w:multiLevelType w:val="hybridMultilevel"/>
    <w:tmpl w:val="70781586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>
      <w:start w:val="1"/>
      <w:numFmt w:val="lowerLetter"/>
      <w:lvlText w:val="%2."/>
      <w:lvlJc w:val="left"/>
      <w:pPr>
        <w:ind w:left="1440" w:hanging="360"/>
      </w:pPr>
    </w:lvl>
    <w:lvl w:ilvl="2" w:tplc="440A001B">
      <w:start w:val="1"/>
      <w:numFmt w:val="lowerRoman"/>
      <w:lvlText w:val="%3."/>
      <w:lvlJc w:val="right"/>
      <w:pPr>
        <w:ind w:left="2160" w:hanging="180"/>
      </w:pPr>
    </w:lvl>
    <w:lvl w:ilvl="3" w:tplc="440A000F">
      <w:start w:val="1"/>
      <w:numFmt w:val="decimal"/>
      <w:lvlText w:val="%4."/>
      <w:lvlJc w:val="left"/>
      <w:pPr>
        <w:ind w:left="2880" w:hanging="360"/>
      </w:pPr>
    </w:lvl>
    <w:lvl w:ilvl="4" w:tplc="440A0019">
      <w:start w:val="1"/>
      <w:numFmt w:val="lowerLetter"/>
      <w:lvlText w:val="%5."/>
      <w:lvlJc w:val="left"/>
      <w:pPr>
        <w:ind w:left="3600" w:hanging="360"/>
      </w:pPr>
    </w:lvl>
    <w:lvl w:ilvl="5" w:tplc="440A001B">
      <w:start w:val="1"/>
      <w:numFmt w:val="lowerRoman"/>
      <w:lvlText w:val="%6."/>
      <w:lvlJc w:val="right"/>
      <w:pPr>
        <w:ind w:left="4320" w:hanging="180"/>
      </w:pPr>
    </w:lvl>
    <w:lvl w:ilvl="6" w:tplc="440A000F">
      <w:start w:val="1"/>
      <w:numFmt w:val="decimal"/>
      <w:lvlText w:val="%7."/>
      <w:lvlJc w:val="left"/>
      <w:pPr>
        <w:ind w:left="5040" w:hanging="360"/>
      </w:pPr>
    </w:lvl>
    <w:lvl w:ilvl="7" w:tplc="440A0019">
      <w:start w:val="1"/>
      <w:numFmt w:val="lowerLetter"/>
      <w:lvlText w:val="%8."/>
      <w:lvlJc w:val="left"/>
      <w:pPr>
        <w:ind w:left="5760" w:hanging="360"/>
      </w:pPr>
    </w:lvl>
    <w:lvl w:ilvl="8" w:tplc="4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75362"/>
    <w:multiLevelType w:val="hybridMultilevel"/>
    <w:tmpl w:val="2C22782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9B2B63"/>
    <w:multiLevelType w:val="hybridMultilevel"/>
    <w:tmpl w:val="6A803E0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FF6AFE"/>
    <w:multiLevelType w:val="hybridMultilevel"/>
    <w:tmpl w:val="AFAC0F30"/>
    <w:lvl w:ilvl="0" w:tplc="440A0011">
      <w:start w:val="1"/>
      <w:numFmt w:val="decimal"/>
      <w:lvlText w:val="%1)"/>
      <w:lvlJc w:val="left"/>
      <w:pPr>
        <w:ind w:left="1440" w:hanging="360"/>
      </w:pPr>
    </w:lvl>
    <w:lvl w:ilvl="1" w:tplc="440A0019" w:tentative="1">
      <w:start w:val="1"/>
      <w:numFmt w:val="lowerLetter"/>
      <w:lvlText w:val="%2."/>
      <w:lvlJc w:val="left"/>
      <w:pPr>
        <w:ind w:left="2160" w:hanging="360"/>
      </w:pPr>
    </w:lvl>
    <w:lvl w:ilvl="2" w:tplc="440A001B" w:tentative="1">
      <w:start w:val="1"/>
      <w:numFmt w:val="lowerRoman"/>
      <w:lvlText w:val="%3."/>
      <w:lvlJc w:val="right"/>
      <w:pPr>
        <w:ind w:left="2880" w:hanging="180"/>
      </w:pPr>
    </w:lvl>
    <w:lvl w:ilvl="3" w:tplc="440A000F" w:tentative="1">
      <w:start w:val="1"/>
      <w:numFmt w:val="decimal"/>
      <w:lvlText w:val="%4."/>
      <w:lvlJc w:val="left"/>
      <w:pPr>
        <w:ind w:left="3600" w:hanging="360"/>
      </w:pPr>
    </w:lvl>
    <w:lvl w:ilvl="4" w:tplc="440A0019" w:tentative="1">
      <w:start w:val="1"/>
      <w:numFmt w:val="lowerLetter"/>
      <w:lvlText w:val="%5."/>
      <w:lvlJc w:val="left"/>
      <w:pPr>
        <w:ind w:left="4320" w:hanging="360"/>
      </w:pPr>
    </w:lvl>
    <w:lvl w:ilvl="5" w:tplc="440A001B" w:tentative="1">
      <w:start w:val="1"/>
      <w:numFmt w:val="lowerRoman"/>
      <w:lvlText w:val="%6."/>
      <w:lvlJc w:val="right"/>
      <w:pPr>
        <w:ind w:left="5040" w:hanging="180"/>
      </w:pPr>
    </w:lvl>
    <w:lvl w:ilvl="6" w:tplc="440A000F" w:tentative="1">
      <w:start w:val="1"/>
      <w:numFmt w:val="decimal"/>
      <w:lvlText w:val="%7."/>
      <w:lvlJc w:val="left"/>
      <w:pPr>
        <w:ind w:left="5760" w:hanging="360"/>
      </w:pPr>
    </w:lvl>
    <w:lvl w:ilvl="7" w:tplc="440A0019" w:tentative="1">
      <w:start w:val="1"/>
      <w:numFmt w:val="lowerLetter"/>
      <w:lvlText w:val="%8."/>
      <w:lvlJc w:val="left"/>
      <w:pPr>
        <w:ind w:left="6480" w:hanging="360"/>
      </w:pPr>
    </w:lvl>
    <w:lvl w:ilvl="8" w:tplc="4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2A15BC1"/>
    <w:multiLevelType w:val="hybridMultilevel"/>
    <w:tmpl w:val="4E4C16F4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B61C81"/>
    <w:multiLevelType w:val="hybridMultilevel"/>
    <w:tmpl w:val="ED906E7A"/>
    <w:lvl w:ilvl="0" w:tplc="0C0A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995E93"/>
    <w:multiLevelType w:val="hybridMultilevel"/>
    <w:tmpl w:val="D0282048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F46505"/>
    <w:multiLevelType w:val="hybridMultilevel"/>
    <w:tmpl w:val="9EEC2EE2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7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2"/>
  </w:num>
  <w:num w:numId="10">
    <w:abstractNumId w:val="8"/>
  </w:num>
  <w:num w:numId="11">
    <w:abstractNumId w:val="3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E5B"/>
    <w:rsid w:val="00010680"/>
    <w:rsid w:val="000148A5"/>
    <w:rsid w:val="00025534"/>
    <w:rsid w:val="00025802"/>
    <w:rsid w:val="00033D3E"/>
    <w:rsid w:val="00050EBA"/>
    <w:rsid w:val="0005133C"/>
    <w:rsid w:val="0005283B"/>
    <w:rsid w:val="00057241"/>
    <w:rsid w:val="00066D49"/>
    <w:rsid w:val="00073D4D"/>
    <w:rsid w:val="00084630"/>
    <w:rsid w:val="000A4A88"/>
    <w:rsid w:val="000B38E8"/>
    <w:rsid w:val="000C2377"/>
    <w:rsid w:val="000C6BBA"/>
    <w:rsid w:val="000D4823"/>
    <w:rsid w:val="000D5AB7"/>
    <w:rsid w:val="000E3D0F"/>
    <w:rsid w:val="000E3F12"/>
    <w:rsid w:val="000F17F2"/>
    <w:rsid w:val="000F1C03"/>
    <w:rsid w:val="000F5A7E"/>
    <w:rsid w:val="00111411"/>
    <w:rsid w:val="00121928"/>
    <w:rsid w:val="00125962"/>
    <w:rsid w:val="001273CD"/>
    <w:rsid w:val="00132581"/>
    <w:rsid w:val="00136745"/>
    <w:rsid w:val="00142604"/>
    <w:rsid w:val="00160408"/>
    <w:rsid w:val="00161EE9"/>
    <w:rsid w:val="00167F24"/>
    <w:rsid w:val="001776EC"/>
    <w:rsid w:val="00181FD4"/>
    <w:rsid w:val="001922F8"/>
    <w:rsid w:val="00193382"/>
    <w:rsid w:val="001D5E28"/>
    <w:rsid w:val="001E3BD5"/>
    <w:rsid w:val="001E5E5B"/>
    <w:rsid w:val="00214297"/>
    <w:rsid w:val="00215BDE"/>
    <w:rsid w:val="00217455"/>
    <w:rsid w:val="00233245"/>
    <w:rsid w:val="00234760"/>
    <w:rsid w:val="00241B5B"/>
    <w:rsid w:val="00251E69"/>
    <w:rsid w:val="00270A71"/>
    <w:rsid w:val="002873EC"/>
    <w:rsid w:val="00290600"/>
    <w:rsid w:val="002A20CB"/>
    <w:rsid w:val="002B7E33"/>
    <w:rsid w:val="002E43D5"/>
    <w:rsid w:val="002F7052"/>
    <w:rsid w:val="00304223"/>
    <w:rsid w:val="00304F97"/>
    <w:rsid w:val="00306099"/>
    <w:rsid w:val="003074B2"/>
    <w:rsid w:val="003256D9"/>
    <w:rsid w:val="003259BF"/>
    <w:rsid w:val="00327731"/>
    <w:rsid w:val="0034787D"/>
    <w:rsid w:val="003539A9"/>
    <w:rsid w:val="0036060F"/>
    <w:rsid w:val="00362346"/>
    <w:rsid w:val="003642CF"/>
    <w:rsid w:val="00380B30"/>
    <w:rsid w:val="003845B1"/>
    <w:rsid w:val="003A0A4C"/>
    <w:rsid w:val="003A13A5"/>
    <w:rsid w:val="003A22E6"/>
    <w:rsid w:val="003A5C99"/>
    <w:rsid w:val="003B14BE"/>
    <w:rsid w:val="003B2132"/>
    <w:rsid w:val="003B2E54"/>
    <w:rsid w:val="003B42FF"/>
    <w:rsid w:val="003D5725"/>
    <w:rsid w:val="003F1FD1"/>
    <w:rsid w:val="003F4295"/>
    <w:rsid w:val="004033C8"/>
    <w:rsid w:val="00411583"/>
    <w:rsid w:val="00444BDE"/>
    <w:rsid w:val="00452817"/>
    <w:rsid w:val="0046477E"/>
    <w:rsid w:val="00482139"/>
    <w:rsid w:val="00482B2A"/>
    <w:rsid w:val="00486910"/>
    <w:rsid w:val="00495A92"/>
    <w:rsid w:val="004A60FD"/>
    <w:rsid w:val="004A6C29"/>
    <w:rsid w:val="004B4F78"/>
    <w:rsid w:val="004B6CDF"/>
    <w:rsid w:val="004C0C43"/>
    <w:rsid w:val="004C6B2E"/>
    <w:rsid w:val="0051383D"/>
    <w:rsid w:val="0054375D"/>
    <w:rsid w:val="005511B8"/>
    <w:rsid w:val="00565160"/>
    <w:rsid w:val="00580234"/>
    <w:rsid w:val="005805C1"/>
    <w:rsid w:val="00581D03"/>
    <w:rsid w:val="005D49C0"/>
    <w:rsid w:val="005D65B0"/>
    <w:rsid w:val="005E05F8"/>
    <w:rsid w:val="005E1BA7"/>
    <w:rsid w:val="005F483A"/>
    <w:rsid w:val="00603184"/>
    <w:rsid w:val="0064410F"/>
    <w:rsid w:val="0064582C"/>
    <w:rsid w:val="006473F9"/>
    <w:rsid w:val="00663B7E"/>
    <w:rsid w:val="00675672"/>
    <w:rsid w:val="00684A88"/>
    <w:rsid w:val="00692D92"/>
    <w:rsid w:val="00693DCB"/>
    <w:rsid w:val="006B2060"/>
    <w:rsid w:val="006C52E9"/>
    <w:rsid w:val="006D7DF5"/>
    <w:rsid w:val="006E7126"/>
    <w:rsid w:val="006F2E7A"/>
    <w:rsid w:val="00704B3B"/>
    <w:rsid w:val="007133D2"/>
    <w:rsid w:val="00723067"/>
    <w:rsid w:val="00724DD0"/>
    <w:rsid w:val="00726BC3"/>
    <w:rsid w:val="007570A2"/>
    <w:rsid w:val="007669DA"/>
    <w:rsid w:val="007764C4"/>
    <w:rsid w:val="007806A6"/>
    <w:rsid w:val="0078537C"/>
    <w:rsid w:val="007938DF"/>
    <w:rsid w:val="00797935"/>
    <w:rsid w:val="007B7972"/>
    <w:rsid w:val="007D497C"/>
    <w:rsid w:val="007E1D9D"/>
    <w:rsid w:val="007E7E09"/>
    <w:rsid w:val="007F2FFB"/>
    <w:rsid w:val="007F64FC"/>
    <w:rsid w:val="00801052"/>
    <w:rsid w:val="008046DD"/>
    <w:rsid w:val="00805B04"/>
    <w:rsid w:val="008104C6"/>
    <w:rsid w:val="00812E86"/>
    <w:rsid w:val="00813A2F"/>
    <w:rsid w:val="00817708"/>
    <w:rsid w:val="00826255"/>
    <w:rsid w:val="00834810"/>
    <w:rsid w:val="008668FE"/>
    <w:rsid w:val="008808C0"/>
    <w:rsid w:val="0089740A"/>
    <w:rsid w:val="008B47FE"/>
    <w:rsid w:val="008B69AB"/>
    <w:rsid w:val="008C4DF3"/>
    <w:rsid w:val="008C6E58"/>
    <w:rsid w:val="008D189B"/>
    <w:rsid w:val="008D50D2"/>
    <w:rsid w:val="008D7EDC"/>
    <w:rsid w:val="008E35D1"/>
    <w:rsid w:val="008E7EDC"/>
    <w:rsid w:val="008F1E70"/>
    <w:rsid w:val="008F2C94"/>
    <w:rsid w:val="008F6AB8"/>
    <w:rsid w:val="00903392"/>
    <w:rsid w:val="00932B6F"/>
    <w:rsid w:val="009508FF"/>
    <w:rsid w:val="009725F8"/>
    <w:rsid w:val="00981903"/>
    <w:rsid w:val="00983436"/>
    <w:rsid w:val="00991CB2"/>
    <w:rsid w:val="00991EA6"/>
    <w:rsid w:val="009B0254"/>
    <w:rsid w:val="009B5BD8"/>
    <w:rsid w:val="009C1E87"/>
    <w:rsid w:val="009C2567"/>
    <w:rsid w:val="009C5CED"/>
    <w:rsid w:val="009E51B3"/>
    <w:rsid w:val="009F0ADA"/>
    <w:rsid w:val="009F14A3"/>
    <w:rsid w:val="00A10096"/>
    <w:rsid w:val="00A10F5E"/>
    <w:rsid w:val="00A73646"/>
    <w:rsid w:val="00A915B8"/>
    <w:rsid w:val="00A97E19"/>
    <w:rsid w:val="00AA7151"/>
    <w:rsid w:val="00AB6B0B"/>
    <w:rsid w:val="00AD10DC"/>
    <w:rsid w:val="00AD296E"/>
    <w:rsid w:val="00B12CF5"/>
    <w:rsid w:val="00B15D15"/>
    <w:rsid w:val="00B15FD1"/>
    <w:rsid w:val="00B31989"/>
    <w:rsid w:val="00B31E34"/>
    <w:rsid w:val="00B376E3"/>
    <w:rsid w:val="00B418E7"/>
    <w:rsid w:val="00B4391F"/>
    <w:rsid w:val="00B62AC4"/>
    <w:rsid w:val="00B8285F"/>
    <w:rsid w:val="00BB3ECA"/>
    <w:rsid w:val="00BB56B9"/>
    <w:rsid w:val="00BB75DC"/>
    <w:rsid w:val="00BC2BAB"/>
    <w:rsid w:val="00BE60D3"/>
    <w:rsid w:val="00BE6A74"/>
    <w:rsid w:val="00BF150E"/>
    <w:rsid w:val="00BF59E9"/>
    <w:rsid w:val="00C1094E"/>
    <w:rsid w:val="00C11BC2"/>
    <w:rsid w:val="00C1240F"/>
    <w:rsid w:val="00C248E1"/>
    <w:rsid w:val="00C32225"/>
    <w:rsid w:val="00C45ACF"/>
    <w:rsid w:val="00C543B1"/>
    <w:rsid w:val="00C8406B"/>
    <w:rsid w:val="00C911EF"/>
    <w:rsid w:val="00C91F70"/>
    <w:rsid w:val="00CD0366"/>
    <w:rsid w:val="00CD3E8C"/>
    <w:rsid w:val="00CF3584"/>
    <w:rsid w:val="00CF66F0"/>
    <w:rsid w:val="00D07602"/>
    <w:rsid w:val="00D16F8C"/>
    <w:rsid w:val="00D70D11"/>
    <w:rsid w:val="00D758C1"/>
    <w:rsid w:val="00D77586"/>
    <w:rsid w:val="00D80677"/>
    <w:rsid w:val="00D833B3"/>
    <w:rsid w:val="00D91FF3"/>
    <w:rsid w:val="00DB2572"/>
    <w:rsid w:val="00DB5113"/>
    <w:rsid w:val="00DD64EB"/>
    <w:rsid w:val="00DE62CE"/>
    <w:rsid w:val="00E01930"/>
    <w:rsid w:val="00E02F10"/>
    <w:rsid w:val="00E12317"/>
    <w:rsid w:val="00E17705"/>
    <w:rsid w:val="00E178C1"/>
    <w:rsid w:val="00E36104"/>
    <w:rsid w:val="00E3653D"/>
    <w:rsid w:val="00E3731F"/>
    <w:rsid w:val="00E47C80"/>
    <w:rsid w:val="00E50A4C"/>
    <w:rsid w:val="00E83E3C"/>
    <w:rsid w:val="00E84DD4"/>
    <w:rsid w:val="00E909DE"/>
    <w:rsid w:val="00EA0B0C"/>
    <w:rsid w:val="00EC12EC"/>
    <w:rsid w:val="00ED6B0B"/>
    <w:rsid w:val="00EE0827"/>
    <w:rsid w:val="00EF743A"/>
    <w:rsid w:val="00F11948"/>
    <w:rsid w:val="00F158DD"/>
    <w:rsid w:val="00F2154D"/>
    <w:rsid w:val="00F36251"/>
    <w:rsid w:val="00F54287"/>
    <w:rsid w:val="00F627C5"/>
    <w:rsid w:val="00F832C3"/>
    <w:rsid w:val="00F8460C"/>
    <w:rsid w:val="00FC1B7A"/>
    <w:rsid w:val="00FC2FD8"/>
    <w:rsid w:val="00FC6903"/>
    <w:rsid w:val="00FD106A"/>
    <w:rsid w:val="00FD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1E5E5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1E5E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34"/>
    <w:qFormat/>
    <w:rsid w:val="00663B7E"/>
    <w:pPr>
      <w:ind w:left="720"/>
      <w:contextualSpacing/>
    </w:pPr>
  </w:style>
  <w:style w:type="paragraph" w:styleId="Sinespaciado">
    <w:name w:val="No Spacing"/>
    <w:uiPriority w:val="1"/>
    <w:qFormat/>
    <w:rsid w:val="00E3653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1E5E5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1E5E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34"/>
    <w:qFormat/>
    <w:rsid w:val="00663B7E"/>
    <w:pPr>
      <w:ind w:left="720"/>
      <w:contextualSpacing/>
    </w:pPr>
  </w:style>
  <w:style w:type="paragraph" w:styleId="Sinespaciado">
    <w:name w:val="No Spacing"/>
    <w:uiPriority w:val="1"/>
    <w:qFormat/>
    <w:rsid w:val="00E365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1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4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0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5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3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0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2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4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8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4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9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989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sivar</cp:lastModifiedBy>
  <cp:revision>2</cp:revision>
  <dcterms:created xsi:type="dcterms:W3CDTF">2014-09-16T17:24:00Z</dcterms:created>
  <dcterms:modified xsi:type="dcterms:W3CDTF">2014-09-16T17:24:00Z</dcterms:modified>
</cp:coreProperties>
</file>