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 w:val="0"/>
        </w:rPr>
        <w:id w:val="697741"/>
        <w:docPartObj>
          <w:docPartGallery w:val="Cover Pages"/>
          <w:docPartUnique/>
        </w:docPartObj>
      </w:sdtPr>
      <w:sdtEndPr>
        <w:rPr>
          <w:rFonts w:ascii="Arial Narrow" w:eastAsiaTheme="minorHAnsi" w:hAnsi="Arial Narrow" w:cs="Times New Roman"/>
          <w:color w:val="000000" w:themeColor="text1" w:themeShade="80"/>
          <w:spacing w:val="0"/>
          <w:kern w:val="0"/>
          <w:sz w:val="24"/>
          <w:szCs w:val="24"/>
        </w:rPr>
      </w:sdtEndPr>
      <w:sdtContent>
        <w:sdt>
          <w:sdtPr>
            <w:alias w:val="Título"/>
            <w:id w:val="697757"/>
            <w:placeholder>
              <w:docPart w:val="0BDF849FE1E34229A0977ACDFF8B22C4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DD6A2C" w:rsidRPr="00DD6A2C" w:rsidRDefault="00DD6A2C" w:rsidP="00DD6A2C">
              <w:pPr>
                <w:pStyle w:val="Ttulo"/>
              </w:pPr>
              <w:r w:rsidRPr="00DD6A2C">
                <w:t>CONTABILIDAD FINANCIERA II</w:t>
              </w:r>
            </w:p>
          </w:sdtContent>
        </w:sdt>
        <w:sdt>
          <w:sdtPr>
            <w:alias w:val="Subtítulo"/>
            <w:id w:val="697758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DD6A2C" w:rsidRPr="00DD6A2C" w:rsidRDefault="00DD6A2C" w:rsidP="00DD6A2C">
              <w:pPr>
                <w:pStyle w:val="Ttulo"/>
              </w:pPr>
              <w:r w:rsidRPr="00DD6A2C">
                <w:t>GLOSARIO DE TERMINOS</w:t>
              </w:r>
            </w:p>
          </w:sdtContent>
        </w:sdt>
        <w:p w:rsidR="001D7280" w:rsidRPr="00092596" w:rsidRDefault="001D7280" w:rsidP="00411406">
          <w:pPr>
            <w:jc w:val="both"/>
            <w:rPr>
              <w:rFonts w:ascii="Arial Narrow" w:hAnsi="Arial Narrow"/>
              <w:b w:val="0"/>
            </w:rPr>
          </w:pPr>
        </w:p>
        <w:p w:rsidR="001D7280" w:rsidRPr="00092596" w:rsidRDefault="001D7280" w:rsidP="00411406">
          <w:pPr>
            <w:jc w:val="both"/>
            <w:rPr>
              <w:rFonts w:ascii="Arial Narrow" w:hAnsi="Arial Narrow"/>
              <w:b w:val="0"/>
            </w:rPr>
          </w:pPr>
        </w:p>
        <w:p w:rsidR="00153FDB" w:rsidRPr="00092596" w:rsidRDefault="00092596" w:rsidP="00411406">
          <w:pPr>
            <w:jc w:val="both"/>
            <w:rPr>
              <w:rFonts w:ascii="Arial Narrow" w:hAnsi="Arial Narrow"/>
              <w:b w:val="0"/>
            </w:rPr>
          </w:pPr>
          <w:r>
            <w:rPr>
              <w:rFonts w:ascii="Arial Narrow" w:hAnsi="Arial Narrow"/>
              <w:b w:val="0"/>
            </w:rPr>
            <w:t>NGRESOS DE ACTIVIDADES ORDINARIAS</w:t>
          </w:r>
        </w:p>
        <w:p w:rsidR="00153FDB" w:rsidRPr="00092596" w:rsidRDefault="00153FDB" w:rsidP="00411406">
          <w:pPr>
            <w:jc w:val="both"/>
            <w:rPr>
              <w:rFonts w:ascii="Arial Narrow" w:hAnsi="Arial Narrow"/>
              <w:b w:val="0"/>
            </w:rPr>
          </w:pPr>
          <w:r w:rsidRPr="00092596">
            <w:rPr>
              <w:rFonts w:ascii="Arial Narrow" w:hAnsi="Arial Narrow"/>
              <w:b w:val="0"/>
            </w:rPr>
            <w:t>Es la entrada bruta de beneficios económicos, durante el periodo, surgidos en el curso de las actividades ordinarias de una entidad, siempre que tal entrada de lugar a un aumento en el patrimonio, que no esté relacionado con las aportaciones de los propietarios de ese patrimonio.</w:t>
          </w:r>
        </w:p>
        <w:p w:rsidR="003E2081" w:rsidRPr="00092596" w:rsidRDefault="00DD6A2C" w:rsidP="00411406">
          <w:pPr>
            <w:jc w:val="both"/>
            <w:rPr>
              <w:rFonts w:ascii="Arial Narrow" w:hAnsi="Arial Narrow"/>
              <w:b w:val="0"/>
            </w:rPr>
          </w:pPr>
        </w:p>
      </w:sdtContent>
    </w:sdt>
    <w:p w:rsidR="00411406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VALOR RAZONABLE</w:t>
      </w:r>
    </w:p>
    <w:p w:rsidR="00411406" w:rsidRPr="00092596" w:rsidRDefault="00411406" w:rsidP="00411406">
      <w:pPr>
        <w:jc w:val="both"/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el importe por el cual puede ser intercambiado un activo, o cancelado un pasivo, entre un comprador y un vendedor interesado y debidamente informado, que realizan una transacción libre.</w:t>
      </w:r>
    </w:p>
    <w:p w:rsidR="00C3631E" w:rsidRPr="00092596" w:rsidRDefault="00C3631E" w:rsidP="00411406">
      <w:pPr>
        <w:jc w:val="both"/>
        <w:rPr>
          <w:rFonts w:ascii="Arial Narrow" w:hAnsi="Arial Narrow"/>
          <w:b w:val="0"/>
        </w:rPr>
      </w:pPr>
    </w:p>
    <w:p w:rsidR="00C3631E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INFRAVALORACION</w:t>
      </w:r>
    </w:p>
    <w:p w:rsidR="00426109" w:rsidRPr="00092596" w:rsidRDefault="00426109" w:rsidP="00411406">
      <w:pPr>
        <w:jc w:val="both"/>
        <w:rPr>
          <w:rFonts w:ascii="Arial Narrow" w:hAnsi="Arial Narrow"/>
          <w:b w:val="0"/>
        </w:rPr>
      </w:pPr>
      <w:r w:rsidRPr="00092596">
        <w:rPr>
          <w:rFonts w:ascii="Arial Narrow" w:hAnsi="Arial Narrow" w:cs="Arial"/>
          <w:b w:val="0"/>
          <w:bCs/>
          <w:color w:val="000000"/>
          <w:shd w:val="clear" w:color="auto" w:fill="FFFFFF"/>
        </w:rPr>
        <w:t>Una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acción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bCs/>
          <w:color w:val="000000"/>
          <w:shd w:val="clear" w:color="auto" w:fill="FFFFFF"/>
        </w:rPr>
        <w:t>infravalorada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se define como un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hyperlink r:id="rId7" w:tooltip="Valores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almacén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que vende a un precio muy por debajo de lo que se supone que es su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hyperlink r:id="rId8" w:tooltip="Valor intrínseco (finanzas)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valor intrínseco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Por ejemplo, si una acción se vende a $ 50, pero se puede determinar un valor de $ 100 con base en flujos de efectivo futuros predecibles, entonces es una acción infravalorada.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Numerosos libros populares discutir acciones infravaloradas.</w:t>
      </w:r>
    </w:p>
    <w:p w:rsidR="00C3631E" w:rsidRPr="00092596" w:rsidRDefault="00C3631E" w:rsidP="00411406">
      <w:pPr>
        <w:jc w:val="both"/>
        <w:rPr>
          <w:rFonts w:ascii="Arial Narrow" w:hAnsi="Arial Narrow"/>
          <w:b w:val="0"/>
        </w:rPr>
      </w:pPr>
    </w:p>
    <w:p w:rsidR="00426109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COSTO HISTORICO</w:t>
      </w: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Es el valor original monetario de un bien económico. El coste histórico se basa en el supuesto de unidad de medida estable.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En algunas circunstancias,</w:t>
      </w:r>
      <w:r w:rsidRPr="00092596">
        <w:rPr>
          <w:rStyle w:val="apple-converted-space"/>
          <w:rFonts w:ascii="Arial Narrow" w:hAnsi="Arial Narrow" w:cs="Arial"/>
          <w:b w:val="0"/>
          <w:color w:val="auto"/>
          <w:shd w:val="clear" w:color="auto" w:fill="FFFFFF"/>
        </w:rPr>
        <w:t> </w:t>
      </w:r>
      <w:hyperlink r:id="rId9" w:tooltip="Bienes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los activos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y pasivos se presentan a su costo histórico, como si no hubiera habido ningún cambio en el valor desde la fecha de adquisición.</w:t>
      </w: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El costo histórico por lo general no refleja la valoración actual del mercado.</w:t>
      </w:r>
    </w:p>
    <w:p w:rsidR="00190C96" w:rsidRPr="00092596" w:rsidRDefault="00190C96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092596" w:rsidRDefault="00273440" w:rsidP="00092596">
      <w:pPr>
        <w:rPr>
          <w:rFonts w:ascii="Arial Narrow" w:hAnsi="Arial Narrow" w:cs="Arial"/>
          <w:b w:val="0"/>
        </w:rPr>
      </w:pPr>
      <w:r w:rsidRPr="00092596">
        <w:rPr>
          <w:rFonts w:ascii="Arial Narrow" w:hAnsi="Arial Narrow" w:cs="Arial"/>
          <w:b w:val="0"/>
        </w:rPr>
        <w:t>A</w:t>
      </w:r>
      <w:r w:rsidR="00092596">
        <w:rPr>
          <w:rFonts w:ascii="Arial Narrow" w:hAnsi="Arial Narrow" w:cs="Arial"/>
          <w:b w:val="0"/>
        </w:rPr>
        <w:t>UDITORIA FORENCE</w:t>
      </w:r>
    </w:p>
    <w:p w:rsidR="00273440" w:rsidRDefault="00273440" w:rsidP="00092596">
      <w:pPr>
        <w:rPr>
          <w:rFonts w:ascii="Arial Narrow" w:hAnsi="Arial Narrow" w:cs="Arial"/>
          <w:b w:val="0"/>
        </w:rPr>
      </w:pPr>
      <w:r w:rsidRPr="00092596">
        <w:rPr>
          <w:rFonts w:ascii="Arial Narrow" w:hAnsi="Arial Narrow" w:cs="Arial"/>
          <w:b w:val="0"/>
        </w:rPr>
        <w:t>La auditoría forense es una auditoría especializada en descubrir, divulgar y atestar sobre fraudes y delitos en el desarrollo de las funciones públicas y privadas. Es, en términos contables, la ciencia que permite reunir y presentar información financiera, contable, legal, administrativa e impositiva, para que sea aceptada por una corte o un juez en contra de los perpetradores de un crimen económico.</w:t>
      </w:r>
    </w:p>
    <w:p w:rsidR="00092596" w:rsidRPr="00092596" w:rsidRDefault="00092596" w:rsidP="00092596">
      <w:pPr>
        <w:rPr>
          <w:rFonts w:ascii="Arial Narrow" w:eastAsia="Times New Roman" w:hAnsi="Arial Narrow" w:cs="Arial"/>
          <w:b w:val="0"/>
          <w:color w:val="auto"/>
          <w:lang w:eastAsia="es-ES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CONSOLIDACION DE LOS ESTADOS </w:t>
      </w:r>
      <w:r w:rsidRPr="00092596">
        <w:rPr>
          <w:rFonts w:ascii="Arial Narrow" w:hAnsi="Arial Narrow"/>
          <w:b w:val="0"/>
          <w:bCs/>
        </w:rPr>
        <w:t>FINANCIEROS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técnica contable dirigida a elaborar unas cuentas anuales únicas que engloban los datos de un grupo de sociedades, sintetizando en una visión única la situación patrimonial, económica y financiera correspondiente a las cuentas de diferentes empresas que están interrelacionadas y constituyen un grupo empresarial.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CONTABILIDAD FINANCIERA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Ramo de la contabilidad que le sirve a las persona externas que toman decisiones, como son los accionistas, proveedores, bancos y dependencias del gobierno.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CONTABILIDAD ADMINISTRATIVA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lastRenderedPageBreak/>
        <w:t>Rama de la contabilidad que atiende las necesidades de quienes toman las decisiones dentro de las empresas.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INTERES MINORITARIO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Porción de la utilidad o pérdida neta del ejercicio y del resto del capital contable de las subsidiarias consolidadas, que es atribuible a accionistas ajenos a la compañía controladora, los cuales poseen la menor cantidad de acciones en una entidad comercial.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TESTAFERRO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Persona que presta su no</w:t>
      </w:r>
      <w:bookmarkStart w:id="0" w:name="_GoBack"/>
      <w:bookmarkEnd w:id="0"/>
      <w:r w:rsidRPr="00092596">
        <w:rPr>
          <w:rFonts w:ascii="Arial Narrow" w:hAnsi="Arial Narrow"/>
          <w:b w:val="0"/>
        </w:rPr>
        <w:t>mbre en un contrato o negocio que en realidad es de otra persona.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ENTERPRISE RISK MANAGEMENT (ERM)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Describe un marco conceptual que establece, la definición de riesgos empresariales.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COSO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Documento que contiene las principales directivas para la implantación, gestión y control de un sistema de control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JINETEAR FONDOS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un término figurado que se utiliza en el medio bancario para identificar el aprovechamiento transitorio, pero indebido, de fondos que pertenecen a una persona distinta a la que los retiene en Beneficio.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CUENTA ABIERTA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Compra o venta al crédito basta la firma autorizada del comprador.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ASIENTO COMPUESTO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aquél en que hay varias cuentas deudoras, varias acreedoras o a la vez varias deudoras y acreedoras.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ESTADO DE SITUACION FINANCIERA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un documento contable que refleja la situación financiera de un ente económico, ya sea de una organización pública o privada, a una fecha determinada y que permite efectuar un análisis comparativo de la misma; incluye el activo, el pasivo y el capital contable. Se formula de acuerdo con un formato y un criterio estándar para que la información básica de la empresa pueda obtenerse uniformemente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C43AD4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CONTROL INTERNO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Comprende el plan de la organización y todos los métodos coordinados y medidas adoptadas dentro de una empresa con el fin de salvaguardar sus activos y verificara la confiabilidad de los datos contables.</w:t>
      </w:r>
    </w:p>
    <w:p w:rsidR="00092596" w:rsidRPr="00092596" w:rsidRDefault="00092596" w:rsidP="00273440">
      <w:pPr>
        <w:pStyle w:val="NormalWeb"/>
        <w:shd w:val="clear" w:color="auto" w:fill="FFFFFF"/>
        <w:spacing w:before="96" w:after="12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273440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190C96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190C96">
      <w:pPr>
        <w:jc w:val="both"/>
        <w:rPr>
          <w:rFonts w:ascii="Arial Narrow" w:hAnsi="Arial Narrow"/>
          <w:b w:val="0"/>
          <w:color w:val="auto"/>
        </w:rPr>
      </w:pPr>
    </w:p>
    <w:sectPr w:rsidR="00190C96" w:rsidRPr="00092596" w:rsidSect="001D7280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E81356"/>
    <w:multiLevelType w:val="hybridMultilevel"/>
    <w:tmpl w:val="6400D39A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41"/>
  <w:characterSpacingControl w:val="doNotCompress"/>
  <w:compat>
    <w:compatSetting w:name="compatibilityMode" w:uri="http://schemas.microsoft.com/office/word" w:val="12"/>
  </w:compat>
  <w:rsids>
    <w:rsidRoot w:val="001D7280"/>
    <w:rsid w:val="00092596"/>
    <w:rsid w:val="00153FDB"/>
    <w:rsid w:val="00161831"/>
    <w:rsid w:val="00190C96"/>
    <w:rsid w:val="001D7280"/>
    <w:rsid w:val="00273440"/>
    <w:rsid w:val="003E2081"/>
    <w:rsid w:val="00411406"/>
    <w:rsid w:val="00423CF7"/>
    <w:rsid w:val="00426109"/>
    <w:rsid w:val="004C2DA3"/>
    <w:rsid w:val="00686F85"/>
    <w:rsid w:val="00786DC1"/>
    <w:rsid w:val="008B4756"/>
    <w:rsid w:val="00AB2265"/>
    <w:rsid w:val="00B76EE9"/>
    <w:rsid w:val="00C3631E"/>
    <w:rsid w:val="00C43AD4"/>
    <w:rsid w:val="00D3591A"/>
    <w:rsid w:val="00DD6A2C"/>
    <w:rsid w:val="00E363D0"/>
    <w:rsid w:val="00E83F6C"/>
    <w:rsid w:val="00F258B5"/>
    <w:rsid w:val="00F770A2"/>
    <w:rsid w:val="00FA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D7280"/>
    <w:rPr>
      <w:rFonts w:asciiTheme="minorHAnsi" w:eastAsiaTheme="minorEastAsia" w:hAnsiTheme="minorHAnsi" w:cstheme="minorBidi"/>
      <w:b w:val="0"/>
      <w:color w:val="auto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D7280"/>
    <w:rPr>
      <w:rFonts w:asciiTheme="minorHAnsi" w:eastAsiaTheme="minorEastAsia" w:hAnsiTheme="minorHAnsi" w:cstheme="minorBidi"/>
      <w:b w:val="0"/>
      <w:color w:val="auto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72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72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426109"/>
  </w:style>
  <w:style w:type="character" w:styleId="Hipervnculo">
    <w:name w:val="Hyperlink"/>
    <w:basedOn w:val="Fuentedeprrafopredeter"/>
    <w:uiPriority w:val="99"/>
    <w:semiHidden/>
    <w:unhideWhenUsed/>
    <w:rsid w:val="0042610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C96"/>
    <w:pPr>
      <w:spacing w:before="100" w:beforeAutospacing="1" w:after="100" w:afterAutospacing="1"/>
    </w:pPr>
    <w:rPr>
      <w:rFonts w:eastAsia="Times New Roman"/>
      <w:b w:val="0"/>
      <w:color w:val="auto"/>
      <w:lang w:eastAsia="es-ES"/>
    </w:rPr>
  </w:style>
  <w:style w:type="paragraph" w:styleId="Prrafodelista">
    <w:name w:val="List Paragraph"/>
    <w:basedOn w:val="Normal"/>
    <w:uiPriority w:val="34"/>
    <w:qFormat/>
    <w:rsid w:val="00092596"/>
    <w:pPr>
      <w:spacing w:after="200" w:line="276" w:lineRule="auto"/>
      <w:ind w:left="720"/>
      <w:contextualSpacing/>
    </w:pPr>
    <w:rPr>
      <w:rFonts w:asciiTheme="minorHAnsi" w:hAnsiTheme="minorHAnsi" w:cstheme="minorBidi"/>
      <w:b w:val="0"/>
      <w:color w:val="auto"/>
      <w:sz w:val="22"/>
      <w:szCs w:val="22"/>
      <w:lang w:val="es-SV"/>
    </w:rPr>
  </w:style>
  <w:style w:type="paragraph" w:styleId="Ttulo">
    <w:name w:val="Title"/>
    <w:basedOn w:val="Normal"/>
    <w:next w:val="Normal"/>
    <w:link w:val="TtuloCar"/>
    <w:uiPriority w:val="10"/>
    <w:qFormat/>
    <w:rsid w:val="00DD6A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D6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nslate.googleusercontent.com/translate_c?depth=1&amp;hl=es&amp;langpair=en%7Ces&amp;rurl=translate.google.com.sv&amp;u=http://en.wikipedia.org/wiki/Intrinsic_value_(finance)&amp;usg=ALkJrhjS7KqtiTWsGoGOH-M-fvICp8wMmA" TargetMode="External"/><Relationship Id="rId3" Type="http://schemas.openxmlformats.org/officeDocument/2006/relationships/styles" Target="styles.xml"/><Relationship Id="rId7" Type="http://schemas.openxmlformats.org/officeDocument/2006/relationships/hyperlink" Target="http://translate.googleusercontent.com/translate_c?depth=1&amp;hl=es&amp;langpair=en%7Ces&amp;rurl=translate.google.com.sv&amp;u=http://en.wikipedia.org/wiki/Stock&amp;usg=ALkJrhhyEqAC6S44VlXqr7CjkLZqtxbEA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ranslate.googleusercontent.com/translate_c?depth=1&amp;hl=es&amp;langpair=en%7Ces&amp;rurl=translate.google.com.sv&amp;u=http://en.wikipedia.org/wiki/Assets&amp;usg=ALkJrhjBg7STlogcYYn-TTuRSm4dktVDh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BDF849FE1E34229A0977ACDFF8B2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332EE5-91EA-494E-A474-A8D15698EABC}"/>
      </w:docPartPr>
      <w:docPartBody>
        <w:p w:rsidR="00000000" w:rsidRDefault="004D0854" w:rsidP="004D0854">
          <w:pPr>
            <w:pStyle w:val="0BDF849FE1E34229A0977ACDFF8B22C4"/>
          </w:pPr>
          <w:r>
            <w:rPr>
              <w:rFonts w:asciiTheme="majorHAnsi" w:eastAsiaTheme="majorEastAsia" w:hAnsiTheme="majorHAnsi" w:cstheme="majorBidi"/>
              <w:color w:val="622423" w:themeColor="accent2" w:themeShade="7F"/>
              <w:sz w:val="72"/>
              <w:szCs w:val="7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420D7"/>
    <w:rsid w:val="000420D7"/>
    <w:rsid w:val="00366F0F"/>
    <w:rsid w:val="004D0854"/>
    <w:rsid w:val="007A39CB"/>
    <w:rsid w:val="00A6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F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6EBA88018A242E8889A83F13678A591">
    <w:name w:val="66EBA88018A242E8889A83F13678A591"/>
    <w:rsid w:val="000420D7"/>
  </w:style>
  <w:style w:type="paragraph" w:customStyle="1" w:styleId="77D725BAADB64EBA988FA858C47B1B77">
    <w:name w:val="77D725BAADB64EBA988FA858C47B1B77"/>
    <w:rsid w:val="000420D7"/>
  </w:style>
  <w:style w:type="paragraph" w:customStyle="1" w:styleId="B19B8F4194EE4DF780D413D90A223B68">
    <w:name w:val="B19B8F4194EE4DF780D413D90A223B68"/>
    <w:rsid w:val="000420D7"/>
  </w:style>
  <w:style w:type="paragraph" w:customStyle="1" w:styleId="66B716F8985A4372B64876F640EE4F1C">
    <w:name w:val="66B716F8985A4372B64876F640EE4F1C"/>
    <w:rsid w:val="000420D7"/>
  </w:style>
  <w:style w:type="paragraph" w:customStyle="1" w:styleId="988EDAF013724EF1BEA4A25131ABF213">
    <w:name w:val="988EDAF013724EF1BEA4A25131ABF213"/>
    <w:rsid w:val="000420D7"/>
  </w:style>
  <w:style w:type="paragraph" w:customStyle="1" w:styleId="6DEF693EF14342239FCB46B68181FCD5">
    <w:name w:val="6DEF693EF14342239FCB46B68181FCD5"/>
    <w:rsid w:val="000420D7"/>
  </w:style>
  <w:style w:type="paragraph" w:customStyle="1" w:styleId="0BDF849FE1E34229A0977ACDFF8B22C4">
    <w:name w:val="0BDF849FE1E34229A0977ACDFF8B22C4"/>
    <w:rsid w:val="004D08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746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CONTABILIDAD FINANCIERA II</vt:lpstr>
    </vt:vector>
  </TitlesOfParts>
  <Company>marvin isaac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CONTABILIDAD FINANCIERA II</dc:title>
  <dc:subject>GLOSARIO DE TERMINOS</dc:subject>
  <dc:creator>marvin isaac</dc:creator>
  <cp:keywords/>
  <dc:description/>
  <cp:lastModifiedBy>Isaac</cp:lastModifiedBy>
  <cp:revision>6</cp:revision>
  <dcterms:created xsi:type="dcterms:W3CDTF">2012-09-21T13:56:00Z</dcterms:created>
  <dcterms:modified xsi:type="dcterms:W3CDTF">2012-09-28T19:34:00Z</dcterms:modified>
</cp:coreProperties>
</file>