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A72" w:rsidRPr="00172A72" w:rsidRDefault="00172A72" w:rsidP="00172A72">
      <w:pPr>
        <w:pStyle w:val="NormalWeb"/>
        <w:shd w:val="clear" w:color="auto" w:fill="FFFFFF"/>
        <w:spacing w:before="96" w:beforeAutospacing="0" w:after="120" w:afterAutospacing="0" w:line="288" w:lineRule="atLeast"/>
        <w:jc w:val="center"/>
        <w:rPr>
          <w:rFonts w:ascii="Arial" w:hAnsi="Arial" w:cs="Arial"/>
          <w:u w:val="single"/>
        </w:rPr>
      </w:pPr>
      <w:r w:rsidRPr="00172A72">
        <w:rPr>
          <w:rFonts w:ascii="Arial" w:hAnsi="Arial" w:cs="Arial"/>
          <w:u w:val="single"/>
        </w:rPr>
        <w:t>Bonos</w:t>
      </w:r>
      <w:bookmarkStart w:id="0" w:name="_GoBack"/>
      <w:bookmarkEnd w:id="0"/>
    </w:p>
    <w:p w:rsidR="00172A72" w:rsidRPr="00172A72" w:rsidRDefault="00172A72" w:rsidP="00172A72">
      <w:pPr>
        <w:pStyle w:val="NormalWeb"/>
        <w:shd w:val="clear" w:color="auto" w:fill="FFFFFF"/>
        <w:spacing w:before="96" w:beforeAutospacing="0" w:after="120" w:afterAutospacing="0" w:line="288" w:lineRule="atLeast"/>
        <w:jc w:val="both"/>
        <w:rPr>
          <w:rFonts w:ascii="Arial" w:hAnsi="Arial" w:cs="Arial"/>
        </w:rPr>
      </w:pPr>
      <w:r w:rsidRPr="00172A72">
        <w:rPr>
          <w:rFonts w:ascii="Arial" w:hAnsi="Arial" w:cs="Arial"/>
        </w:rPr>
        <w:t>Los bonos son instrumentos financieros de deuda utilizados por entidades privadas y también por entidades gubernamentales y que sirven para financiar a las mismas empresas. El</w:t>
      </w:r>
      <w:r w:rsidRPr="00172A72">
        <w:rPr>
          <w:rStyle w:val="apple-converted-space"/>
          <w:rFonts w:ascii="Arial" w:hAnsi="Arial" w:cs="Arial"/>
        </w:rPr>
        <w:t> </w:t>
      </w:r>
      <w:r w:rsidRPr="00172A72">
        <w:rPr>
          <w:rFonts w:ascii="Arial" w:hAnsi="Arial" w:cs="Arial"/>
          <w:bCs/>
        </w:rPr>
        <w:t>bono</w:t>
      </w:r>
      <w:r w:rsidRPr="00172A72">
        <w:rPr>
          <w:rStyle w:val="apple-converted-space"/>
          <w:rFonts w:ascii="Arial" w:hAnsi="Arial" w:cs="Arial"/>
        </w:rPr>
        <w:t> </w:t>
      </w:r>
      <w:r w:rsidRPr="00172A72">
        <w:rPr>
          <w:rFonts w:ascii="Arial" w:hAnsi="Arial" w:cs="Arial"/>
        </w:rPr>
        <w:t>es una de las formas de materializarse los títulos de</w:t>
      </w:r>
      <w:r w:rsidRPr="00172A72">
        <w:rPr>
          <w:rStyle w:val="apple-converted-space"/>
          <w:rFonts w:ascii="Arial" w:hAnsi="Arial" w:cs="Arial"/>
        </w:rPr>
        <w:t> </w:t>
      </w:r>
      <w:hyperlink r:id="rId6" w:tooltip="Deuda activa" w:history="1">
        <w:r w:rsidRPr="00172A72">
          <w:rPr>
            <w:rStyle w:val="Hipervnculo"/>
            <w:rFonts w:ascii="Arial" w:hAnsi="Arial" w:cs="Arial"/>
            <w:color w:val="auto"/>
            <w:u w:val="none"/>
          </w:rPr>
          <w:t>deuda</w:t>
        </w:r>
      </w:hyperlink>
      <w:r w:rsidRPr="00172A72">
        <w:rPr>
          <w:rFonts w:ascii="Arial" w:hAnsi="Arial" w:cs="Arial"/>
        </w:rPr>
        <w:t>, de</w:t>
      </w:r>
      <w:r w:rsidRPr="00172A72">
        <w:rPr>
          <w:rStyle w:val="apple-converted-space"/>
          <w:rFonts w:ascii="Arial" w:hAnsi="Arial" w:cs="Arial"/>
        </w:rPr>
        <w:t> </w:t>
      </w:r>
      <w:hyperlink r:id="rId7" w:tooltip="Renta fija" w:history="1">
        <w:r w:rsidRPr="00172A72">
          <w:rPr>
            <w:rStyle w:val="Hipervnculo"/>
            <w:rFonts w:ascii="Arial" w:hAnsi="Arial" w:cs="Arial"/>
            <w:color w:val="auto"/>
            <w:u w:val="none"/>
          </w:rPr>
          <w:t>renta fija</w:t>
        </w:r>
      </w:hyperlink>
      <w:r w:rsidRPr="00172A72">
        <w:rPr>
          <w:rStyle w:val="apple-converted-space"/>
          <w:rFonts w:ascii="Arial" w:hAnsi="Arial" w:cs="Arial"/>
        </w:rPr>
        <w:t> </w:t>
      </w:r>
      <w:r w:rsidRPr="00172A72">
        <w:rPr>
          <w:rFonts w:ascii="Arial" w:hAnsi="Arial" w:cs="Arial"/>
        </w:rPr>
        <w:t>o variable. Pueden ser</w:t>
      </w:r>
      <w:r w:rsidRPr="00172A72">
        <w:rPr>
          <w:rStyle w:val="apple-converted-space"/>
          <w:rFonts w:ascii="Arial" w:hAnsi="Arial" w:cs="Arial"/>
        </w:rPr>
        <w:t> </w:t>
      </w:r>
      <w:hyperlink r:id="rId8" w:tooltip="Emitir (aún no redactado)" w:history="1">
        <w:r w:rsidRPr="00172A72">
          <w:rPr>
            <w:rStyle w:val="Hipervnculo"/>
            <w:rFonts w:ascii="Arial" w:hAnsi="Arial" w:cs="Arial"/>
            <w:color w:val="auto"/>
            <w:u w:val="none"/>
          </w:rPr>
          <w:t>emitidos</w:t>
        </w:r>
      </w:hyperlink>
      <w:r w:rsidRPr="00172A72">
        <w:rPr>
          <w:rStyle w:val="apple-converted-space"/>
          <w:rFonts w:ascii="Arial" w:hAnsi="Arial" w:cs="Arial"/>
        </w:rPr>
        <w:t> </w:t>
      </w:r>
      <w:r w:rsidRPr="00172A72">
        <w:rPr>
          <w:rFonts w:ascii="Arial" w:hAnsi="Arial" w:cs="Arial"/>
        </w:rPr>
        <w:t>por una institución pública, un Estado, un gobierno regional, un municipio o por una institución privada,</w:t>
      </w:r>
      <w:r w:rsidRPr="00172A72">
        <w:rPr>
          <w:rStyle w:val="apple-converted-space"/>
          <w:rFonts w:ascii="Arial" w:hAnsi="Arial" w:cs="Arial"/>
        </w:rPr>
        <w:t> </w:t>
      </w:r>
      <w:hyperlink r:id="rId9" w:tooltip="Empresa" w:history="1">
        <w:r w:rsidRPr="00172A72">
          <w:rPr>
            <w:rStyle w:val="Hipervnculo"/>
            <w:rFonts w:ascii="Arial" w:hAnsi="Arial" w:cs="Arial"/>
            <w:color w:val="auto"/>
            <w:u w:val="none"/>
          </w:rPr>
          <w:t>empresa</w:t>
        </w:r>
      </w:hyperlink>
      <w:r w:rsidRPr="00172A72">
        <w:rPr>
          <w:rStyle w:val="apple-converted-space"/>
          <w:rFonts w:ascii="Arial" w:hAnsi="Arial" w:cs="Arial"/>
        </w:rPr>
        <w:t> </w:t>
      </w:r>
      <w:r w:rsidRPr="00172A72">
        <w:rPr>
          <w:rFonts w:ascii="Arial" w:hAnsi="Arial" w:cs="Arial"/>
        </w:rPr>
        <w:t>industrial, comercial o de servicios. También pueden ser emitidos por una institución supranacional (</w:t>
      </w:r>
      <w:hyperlink r:id="rId10" w:tooltip="Banco Europeo de Inversiones" w:history="1">
        <w:r w:rsidRPr="00172A72">
          <w:rPr>
            <w:rStyle w:val="Hipervnculo"/>
            <w:rFonts w:ascii="Arial" w:hAnsi="Arial" w:cs="Arial"/>
            <w:color w:val="auto"/>
            <w:u w:val="none"/>
          </w:rPr>
          <w:t>Banco Europeo de Inversiones</w:t>
        </w:r>
      </w:hyperlink>
      <w:r w:rsidRPr="00172A72">
        <w:rPr>
          <w:rFonts w:ascii="Arial" w:hAnsi="Arial" w:cs="Arial"/>
        </w:rPr>
        <w:t>,</w:t>
      </w:r>
      <w:r w:rsidRPr="00172A72">
        <w:rPr>
          <w:rStyle w:val="apple-converted-space"/>
          <w:rFonts w:ascii="Arial" w:hAnsi="Arial" w:cs="Arial"/>
        </w:rPr>
        <w:t> </w:t>
      </w:r>
      <w:hyperlink r:id="rId11" w:tooltip="Corporación Andina de Fomento" w:history="1">
        <w:r w:rsidRPr="00172A72">
          <w:rPr>
            <w:rStyle w:val="Hipervnculo"/>
            <w:rFonts w:ascii="Arial" w:hAnsi="Arial" w:cs="Arial"/>
            <w:color w:val="auto"/>
            <w:u w:val="none"/>
          </w:rPr>
          <w:t>Corporación Andina de Fomento</w:t>
        </w:r>
      </w:hyperlink>
      <w:r w:rsidRPr="00172A72">
        <w:rPr>
          <w:rFonts w:ascii="Arial" w:hAnsi="Arial" w:cs="Arial"/>
        </w:rPr>
        <w:t>, etc.), con el objetivo de obtener fondos directamente de los</w:t>
      </w:r>
      <w:r w:rsidRPr="00172A72">
        <w:rPr>
          <w:rStyle w:val="apple-converted-space"/>
          <w:rFonts w:ascii="Arial" w:hAnsi="Arial" w:cs="Arial"/>
        </w:rPr>
        <w:t> </w:t>
      </w:r>
      <w:hyperlink r:id="rId12" w:tooltip="Mercados financieros" w:history="1">
        <w:r w:rsidRPr="00172A72">
          <w:rPr>
            <w:rStyle w:val="Hipervnculo"/>
            <w:rFonts w:ascii="Arial" w:hAnsi="Arial" w:cs="Arial"/>
            <w:color w:val="auto"/>
            <w:u w:val="none"/>
          </w:rPr>
          <w:t>mercados financieros</w:t>
        </w:r>
      </w:hyperlink>
      <w:r w:rsidRPr="00172A72">
        <w:rPr>
          <w:rFonts w:ascii="Arial" w:hAnsi="Arial" w:cs="Arial"/>
        </w:rPr>
        <w:t>. Son títulos normalmente colocados al nombre del portador y que suelen ser negociados en algún mercado o bolsa de valores. El emisor se compromete a devolver el capital principal junto con los</w:t>
      </w:r>
      <w:r w:rsidRPr="00172A72">
        <w:rPr>
          <w:rStyle w:val="apple-converted-space"/>
          <w:rFonts w:ascii="Arial" w:hAnsi="Arial" w:cs="Arial"/>
        </w:rPr>
        <w:t> </w:t>
      </w:r>
      <w:hyperlink r:id="rId13" w:tooltip="Interés" w:history="1">
        <w:r w:rsidRPr="00172A72">
          <w:rPr>
            <w:rStyle w:val="Hipervnculo"/>
            <w:rFonts w:ascii="Arial" w:hAnsi="Arial" w:cs="Arial"/>
            <w:color w:val="auto"/>
            <w:u w:val="none"/>
          </w:rPr>
          <w:t>intereses</w:t>
        </w:r>
      </w:hyperlink>
      <w:r w:rsidRPr="00172A72">
        <w:rPr>
          <w:rFonts w:ascii="Arial" w:hAnsi="Arial" w:cs="Arial"/>
        </w:rPr>
        <w:t>, también llamados cupón. Este interés puede tener carácter fijo o variable, tomando como base algún índice de referencia como puede ser el euribor.</w:t>
      </w:r>
    </w:p>
    <w:p w:rsidR="00172A72" w:rsidRPr="00172A72" w:rsidRDefault="00172A72" w:rsidP="00172A72">
      <w:pPr>
        <w:pStyle w:val="NormalWeb"/>
        <w:shd w:val="clear" w:color="auto" w:fill="FFFFFF"/>
        <w:spacing w:before="96" w:beforeAutospacing="0" w:after="120" w:afterAutospacing="0" w:line="288" w:lineRule="atLeast"/>
        <w:jc w:val="both"/>
        <w:rPr>
          <w:rFonts w:ascii="Arial" w:hAnsi="Arial" w:cs="Arial"/>
        </w:rPr>
      </w:pPr>
      <w:r w:rsidRPr="00172A72">
        <w:rPr>
          <w:rFonts w:ascii="Arial" w:hAnsi="Arial" w:cs="Arial"/>
        </w:rPr>
        <w:t>Cabe resaltar que el dinero o fondo que se obtenga se puede prestar a instituciones por un periodo definido y a una tasa de interés fija.</w:t>
      </w:r>
    </w:p>
    <w:p w:rsidR="00172A72" w:rsidRPr="00172A72" w:rsidRDefault="00172A72" w:rsidP="00172A72">
      <w:pPr>
        <w:pStyle w:val="NormalWeb"/>
        <w:shd w:val="clear" w:color="auto" w:fill="FFFFFF"/>
        <w:spacing w:before="96" w:beforeAutospacing="0" w:after="120" w:afterAutospacing="0" w:line="288" w:lineRule="atLeast"/>
        <w:jc w:val="both"/>
        <w:rPr>
          <w:rFonts w:ascii="Arial" w:hAnsi="Arial" w:cs="Arial"/>
        </w:rPr>
      </w:pPr>
    </w:p>
    <w:p w:rsidR="00172A72" w:rsidRPr="00172A72" w:rsidRDefault="00172A72" w:rsidP="00172A72">
      <w:pPr>
        <w:pStyle w:val="NormalWeb"/>
        <w:shd w:val="clear" w:color="auto" w:fill="FFFFFF"/>
        <w:spacing w:before="96" w:beforeAutospacing="0" w:after="120" w:afterAutospacing="0" w:line="288" w:lineRule="atLeast"/>
        <w:jc w:val="both"/>
        <w:rPr>
          <w:rFonts w:ascii="Arial" w:hAnsi="Arial" w:cs="Arial"/>
        </w:rPr>
      </w:pPr>
      <w:r w:rsidRPr="00172A72">
        <w:rPr>
          <w:rFonts w:ascii="Arial" w:hAnsi="Arial" w:cs="Arial"/>
        </w:rPr>
        <w:t>Los principales tipos de bonos son:</w:t>
      </w:r>
    </w:p>
    <w:p w:rsidR="00172A72" w:rsidRPr="00172A72" w:rsidRDefault="00172A72" w:rsidP="00172A72">
      <w:pPr>
        <w:numPr>
          <w:ilvl w:val="0"/>
          <w:numId w:val="1"/>
        </w:numPr>
        <w:shd w:val="clear" w:color="auto" w:fill="FFFFFF"/>
        <w:spacing w:before="100" w:beforeAutospacing="1" w:after="24" w:line="288" w:lineRule="atLeast"/>
        <w:ind w:left="384"/>
        <w:jc w:val="both"/>
        <w:rPr>
          <w:rFonts w:ascii="Arial" w:eastAsia="Times New Roman" w:hAnsi="Arial" w:cs="Arial"/>
          <w:sz w:val="24"/>
          <w:szCs w:val="24"/>
          <w:lang w:eastAsia="es-ES_tradnl"/>
        </w:rPr>
      </w:pPr>
      <w:r w:rsidRPr="00172A72">
        <w:rPr>
          <w:rFonts w:ascii="Arial" w:eastAsia="Times New Roman" w:hAnsi="Arial" w:cs="Arial"/>
          <w:bCs/>
          <w:sz w:val="24"/>
          <w:szCs w:val="24"/>
          <w:lang w:eastAsia="es-ES_tradnl"/>
        </w:rPr>
        <w:t>Bono canjeable</w:t>
      </w:r>
      <w:r w:rsidRPr="00172A72">
        <w:rPr>
          <w:rFonts w:ascii="Arial" w:eastAsia="Times New Roman" w:hAnsi="Arial" w:cs="Arial"/>
          <w:sz w:val="24"/>
          <w:szCs w:val="24"/>
          <w:lang w:eastAsia="es-ES_tradnl"/>
        </w:rPr>
        <w:t>: Bono que puede ser canjeado por </w:t>
      </w:r>
      <w:hyperlink r:id="rId14" w:tooltip="Acción (finanzas)" w:history="1">
        <w:r w:rsidRPr="00172A72">
          <w:rPr>
            <w:rFonts w:ascii="Arial" w:eastAsia="Times New Roman" w:hAnsi="Arial" w:cs="Arial"/>
            <w:sz w:val="24"/>
            <w:szCs w:val="24"/>
            <w:lang w:eastAsia="es-ES_tradnl"/>
          </w:rPr>
          <w:t>acciones</w:t>
        </w:r>
      </w:hyperlink>
      <w:r w:rsidRPr="00172A72">
        <w:rPr>
          <w:rFonts w:ascii="Arial" w:eastAsia="Times New Roman" w:hAnsi="Arial" w:cs="Arial"/>
          <w:sz w:val="24"/>
          <w:szCs w:val="24"/>
          <w:lang w:eastAsia="es-ES_tradnl"/>
        </w:rPr>
        <w:t> ya existentes. No provoca ni la elevación del capital ni la reducción de las acciones.</w:t>
      </w:r>
    </w:p>
    <w:p w:rsidR="00172A72" w:rsidRPr="00172A72" w:rsidRDefault="00172A72" w:rsidP="00172A72">
      <w:pPr>
        <w:numPr>
          <w:ilvl w:val="0"/>
          <w:numId w:val="1"/>
        </w:numPr>
        <w:shd w:val="clear" w:color="auto" w:fill="FFFFFF"/>
        <w:spacing w:before="100" w:beforeAutospacing="1" w:after="24" w:line="288" w:lineRule="atLeast"/>
        <w:ind w:left="384"/>
        <w:jc w:val="both"/>
        <w:rPr>
          <w:rFonts w:ascii="Arial" w:eastAsia="Times New Roman" w:hAnsi="Arial" w:cs="Arial"/>
          <w:sz w:val="24"/>
          <w:szCs w:val="24"/>
          <w:lang w:eastAsia="es-ES_tradnl"/>
        </w:rPr>
      </w:pPr>
      <w:r w:rsidRPr="00172A72">
        <w:rPr>
          <w:rFonts w:ascii="Arial" w:eastAsia="Times New Roman" w:hAnsi="Arial" w:cs="Arial"/>
          <w:bCs/>
          <w:sz w:val="24"/>
          <w:szCs w:val="24"/>
          <w:lang w:eastAsia="es-ES_tradnl"/>
        </w:rPr>
        <w:t>Bono Convertible</w:t>
      </w:r>
      <w:r w:rsidRPr="00172A72">
        <w:rPr>
          <w:rFonts w:ascii="Arial" w:eastAsia="Times New Roman" w:hAnsi="Arial" w:cs="Arial"/>
          <w:sz w:val="24"/>
          <w:szCs w:val="24"/>
          <w:lang w:eastAsia="es-ES_tradnl"/>
        </w:rPr>
        <w:t>: Bono que concede a su poseedor la opción de canjearlo por acciones de nueva emisión a un precio prefijado. Ofrece a cambio un cupón (una rentabilidad) inferior al que tendría sin la opción de conversión.</w:t>
      </w:r>
    </w:p>
    <w:p w:rsidR="00172A72" w:rsidRPr="00172A72" w:rsidRDefault="00172A72" w:rsidP="00172A72">
      <w:pPr>
        <w:numPr>
          <w:ilvl w:val="0"/>
          <w:numId w:val="1"/>
        </w:numPr>
        <w:shd w:val="clear" w:color="auto" w:fill="FFFFFF"/>
        <w:spacing w:before="100" w:beforeAutospacing="1" w:after="24" w:line="288" w:lineRule="atLeast"/>
        <w:ind w:left="384"/>
        <w:jc w:val="both"/>
        <w:rPr>
          <w:rFonts w:ascii="Arial" w:eastAsia="Times New Roman" w:hAnsi="Arial" w:cs="Arial"/>
          <w:sz w:val="24"/>
          <w:szCs w:val="24"/>
          <w:lang w:eastAsia="es-ES_tradnl"/>
        </w:rPr>
      </w:pPr>
      <w:r w:rsidRPr="00172A72">
        <w:rPr>
          <w:rFonts w:ascii="Arial" w:eastAsia="Times New Roman" w:hAnsi="Arial" w:cs="Arial"/>
          <w:bCs/>
          <w:sz w:val="24"/>
          <w:szCs w:val="24"/>
          <w:lang w:eastAsia="es-ES_tradnl"/>
        </w:rPr>
        <w:t>Bono cupón cero</w:t>
      </w:r>
      <w:r w:rsidRPr="00172A72">
        <w:rPr>
          <w:rFonts w:ascii="Arial" w:eastAsia="Times New Roman" w:hAnsi="Arial" w:cs="Arial"/>
          <w:sz w:val="24"/>
          <w:szCs w:val="24"/>
          <w:lang w:eastAsia="es-ES_tradnl"/>
        </w:rPr>
        <w:t>: Título que no paga intereses durante su vida, sino que lo hace íntegramente en el momento en el que se amortiza, es decir cuando el importe del bono es devuelto. En compensación, su precio es inferior a su valor nominal.</w:t>
      </w:r>
    </w:p>
    <w:p w:rsidR="00172A72" w:rsidRPr="00172A72" w:rsidRDefault="00172A72" w:rsidP="00172A72">
      <w:pPr>
        <w:numPr>
          <w:ilvl w:val="0"/>
          <w:numId w:val="1"/>
        </w:numPr>
        <w:shd w:val="clear" w:color="auto" w:fill="FFFFFF"/>
        <w:spacing w:before="100" w:beforeAutospacing="1" w:after="24" w:line="288" w:lineRule="atLeast"/>
        <w:ind w:left="384"/>
        <w:jc w:val="both"/>
        <w:rPr>
          <w:rFonts w:ascii="Arial" w:eastAsia="Times New Roman" w:hAnsi="Arial" w:cs="Arial"/>
          <w:sz w:val="24"/>
          <w:szCs w:val="24"/>
          <w:lang w:eastAsia="es-ES_tradnl"/>
        </w:rPr>
      </w:pPr>
      <w:r w:rsidRPr="00172A72">
        <w:rPr>
          <w:rFonts w:ascii="Arial" w:eastAsia="Times New Roman" w:hAnsi="Arial" w:cs="Arial"/>
          <w:bCs/>
          <w:sz w:val="24"/>
          <w:szCs w:val="24"/>
          <w:lang w:eastAsia="es-ES_tradnl"/>
        </w:rPr>
        <w:t>Bonos de caja</w:t>
      </w:r>
      <w:r w:rsidRPr="00172A72">
        <w:rPr>
          <w:rFonts w:ascii="Arial" w:eastAsia="Times New Roman" w:hAnsi="Arial" w:cs="Arial"/>
          <w:sz w:val="24"/>
          <w:szCs w:val="24"/>
          <w:lang w:eastAsia="es-ES_tradnl"/>
        </w:rPr>
        <w:t>. Títulos emitidos por una empresa, que se compromete a rembolsar al vencimiento fijado el préstamo pactado; los recursos obtenidos con la emisión de estos bonos se dedican a las necesidades de tesorería de la empresa.</w:t>
      </w:r>
    </w:p>
    <w:p w:rsidR="00172A72" w:rsidRPr="00172A72" w:rsidRDefault="00172A72" w:rsidP="00172A72">
      <w:pPr>
        <w:numPr>
          <w:ilvl w:val="0"/>
          <w:numId w:val="1"/>
        </w:numPr>
        <w:shd w:val="clear" w:color="auto" w:fill="FFFFFF"/>
        <w:spacing w:before="100" w:beforeAutospacing="1" w:after="24" w:line="288" w:lineRule="atLeast"/>
        <w:ind w:left="384"/>
        <w:jc w:val="both"/>
        <w:rPr>
          <w:rFonts w:ascii="Arial" w:eastAsia="Times New Roman" w:hAnsi="Arial" w:cs="Arial"/>
          <w:sz w:val="24"/>
          <w:szCs w:val="24"/>
          <w:lang w:eastAsia="es-ES_tradnl"/>
        </w:rPr>
      </w:pPr>
      <w:r w:rsidRPr="00172A72">
        <w:rPr>
          <w:rFonts w:ascii="Arial" w:eastAsia="Times New Roman" w:hAnsi="Arial" w:cs="Arial"/>
          <w:bCs/>
          <w:sz w:val="24"/>
          <w:szCs w:val="24"/>
          <w:lang w:eastAsia="es-ES_tradnl"/>
        </w:rPr>
        <w:t>Strips</w:t>
      </w:r>
      <w:r w:rsidRPr="00172A72">
        <w:rPr>
          <w:rFonts w:ascii="Arial" w:eastAsia="Times New Roman" w:hAnsi="Arial" w:cs="Arial"/>
          <w:sz w:val="24"/>
          <w:szCs w:val="24"/>
          <w:lang w:eastAsia="es-ES_tradnl"/>
        </w:rPr>
        <w:t>: Algunos bonos del Estado son "strippables", o divididos, puede segregarse el valor del bono en cada uno de los pagos que se realizan, distinguiendo básicamente los pagos en concepto de intereses (cupones) y el pago del principal, y negociarlos por separado.</w:t>
      </w:r>
    </w:p>
    <w:p w:rsidR="00172A72" w:rsidRPr="00172A72" w:rsidRDefault="00172A72" w:rsidP="00172A72">
      <w:pPr>
        <w:numPr>
          <w:ilvl w:val="0"/>
          <w:numId w:val="1"/>
        </w:numPr>
        <w:shd w:val="clear" w:color="auto" w:fill="FFFFFF"/>
        <w:spacing w:before="100" w:beforeAutospacing="1" w:after="24" w:line="288" w:lineRule="atLeast"/>
        <w:ind w:left="384"/>
        <w:jc w:val="both"/>
        <w:rPr>
          <w:rFonts w:ascii="Arial" w:eastAsia="Times New Roman" w:hAnsi="Arial" w:cs="Arial"/>
          <w:sz w:val="24"/>
          <w:szCs w:val="24"/>
          <w:lang w:eastAsia="es-ES_tradnl"/>
        </w:rPr>
      </w:pPr>
      <w:r w:rsidRPr="00172A72">
        <w:rPr>
          <w:rFonts w:ascii="Arial" w:eastAsia="Times New Roman" w:hAnsi="Arial" w:cs="Arial"/>
          <w:bCs/>
          <w:sz w:val="24"/>
          <w:szCs w:val="24"/>
          <w:lang w:eastAsia="es-ES_tradnl"/>
        </w:rPr>
        <w:t>Bonos de deuda perpetua</w:t>
      </w:r>
      <w:r w:rsidRPr="00172A72">
        <w:rPr>
          <w:rFonts w:ascii="Arial" w:eastAsia="Times New Roman" w:hAnsi="Arial" w:cs="Arial"/>
          <w:sz w:val="24"/>
          <w:szCs w:val="24"/>
          <w:lang w:eastAsia="es-ES_tradnl"/>
        </w:rPr>
        <w:t>: Son aquellos que nunca devuelven el principal, (esto es, el nominal del bono, que generalmente coincide con la inversión inicial), sino que pagan intereses (cupones) regularmente de forma indefinida. Son los más sensibles a variaciones en el tipo de interés.</w:t>
      </w:r>
    </w:p>
    <w:p w:rsidR="00172A72" w:rsidRPr="00172A72" w:rsidRDefault="00172A72" w:rsidP="00172A72">
      <w:pPr>
        <w:numPr>
          <w:ilvl w:val="0"/>
          <w:numId w:val="1"/>
        </w:numPr>
        <w:shd w:val="clear" w:color="auto" w:fill="FFFFFF"/>
        <w:spacing w:before="100" w:beforeAutospacing="1" w:after="24" w:line="288" w:lineRule="atLeast"/>
        <w:ind w:left="384"/>
        <w:jc w:val="both"/>
        <w:rPr>
          <w:rFonts w:ascii="Arial" w:eastAsia="Times New Roman" w:hAnsi="Arial" w:cs="Arial"/>
          <w:sz w:val="24"/>
          <w:szCs w:val="24"/>
          <w:lang w:eastAsia="es-ES_tradnl"/>
        </w:rPr>
      </w:pPr>
      <w:hyperlink r:id="rId15" w:tooltip="Bono basura" w:history="1">
        <w:r w:rsidRPr="00172A72">
          <w:rPr>
            <w:rFonts w:ascii="Arial" w:eastAsia="Times New Roman" w:hAnsi="Arial" w:cs="Arial"/>
            <w:bCs/>
            <w:sz w:val="24"/>
            <w:szCs w:val="24"/>
            <w:lang w:eastAsia="es-ES_tradnl"/>
          </w:rPr>
          <w:t>Bonos basura</w:t>
        </w:r>
      </w:hyperlink>
      <w:r w:rsidRPr="00172A72">
        <w:rPr>
          <w:rFonts w:ascii="Arial" w:eastAsia="Times New Roman" w:hAnsi="Arial" w:cs="Arial"/>
          <w:sz w:val="24"/>
          <w:szCs w:val="24"/>
          <w:lang w:eastAsia="es-ES_tradnl"/>
        </w:rPr>
        <w:t>, que se definen como títulos de alto riesgo y baja calificación, que ofrece, en contrapartida, un alto rendimiento.</w:t>
      </w:r>
    </w:p>
    <w:p w:rsidR="00172A72" w:rsidRDefault="00172A72">
      <w:pPr>
        <w:rPr>
          <w:rFonts w:ascii="Arial" w:eastAsia="Times New Roman" w:hAnsi="Arial" w:cs="Arial"/>
          <w:sz w:val="24"/>
          <w:szCs w:val="24"/>
          <w:lang w:eastAsia="es-ES_tradnl"/>
        </w:rPr>
      </w:pPr>
      <w:r>
        <w:rPr>
          <w:rFonts w:ascii="Arial" w:eastAsia="Times New Roman" w:hAnsi="Arial" w:cs="Arial"/>
          <w:sz w:val="24"/>
          <w:szCs w:val="24"/>
          <w:lang w:eastAsia="es-ES_tradnl"/>
        </w:rPr>
        <w:br w:type="page"/>
      </w:r>
    </w:p>
    <w:p w:rsidR="00172A72" w:rsidRPr="00172A72" w:rsidRDefault="00172A72" w:rsidP="00172A72">
      <w:pPr>
        <w:shd w:val="clear" w:color="auto" w:fill="FFFFFF"/>
        <w:spacing w:before="96" w:after="120" w:line="288" w:lineRule="atLeast"/>
        <w:jc w:val="both"/>
        <w:rPr>
          <w:rFonts w:ascii="Arial" w:eastAsia="Times New Roman" w:hAnsi="Arial" w:cs="Arial"/>
          <w:sz w:val="24"/>
          <w:szCs w:val="24"/>
          <w:lang w:eastAsia="es-ES_tradnl"/>
        </w:rPr>
      </w:pPr>
      <w:r w:rsidRPr="00172A72">
        <w:rPr>
          <w:rFonts w:ascii="Arial" w:eastAsia="Times New Roman" w:hAnsi="Arial" w:cs="Arial"/>
          <w:sz w:val="24"/>
          <w:szCs w:val="24"/>
          <w:lang w:eastAsia="es-ES_tradnl"/>
        </w:rPr>
        <w:lastRenderedPageBreak/>
        <w:t>A los propietarios de bonos se les conoce con el nombre de "tenedores" o "bonistas". Algunas emisiones de bonos llevan incorporadas opciones o warrants que permiten amortizaciones anticipadas, conversión en acciones o en otros activos financieros, etc.</w:t>
      </w:r>
    </w:p>
    <w:p w:rsidR="00172A72" w:rsidRPr="00172A72" w:rsidRDefault="00172A72" w:rsidP="00172A72">
      <w:pPr>
        <w:shd w:val="clear" w:color="auto" w:fill="FFFFFF"/>
        <w:spacing w:before="96" w:after="120" w:line="288" w:lineRule="atLeast"/>
        <w:jc w:val="both"/>
        <w:rPr>
          <w:rFonts w:ascii="Arial" w:eastAsia="Times New Roman" w:hAnsi="Arial" w:cs="Arial"/>
          <w:sz w:val="24"/>
          <w:szCs w:val="24"/>
          <w:lang w:eastAsia="es-ES_tradnl"/>
        </w:rPr>
      </w:pPr>
      <w:r w:rsidRPr="00172A72">
        <w:rPr>
          <w:rFonts w:ascii="Arial" w:eastAsia="Times New Roman" w:hAnsi="Arial" w:cs="Arial"/>
          <w:sz w:val="24"/>
          <w:szCs w:val="24"/>
          <w:lang w:eastAsia="es-ES_tradnl"/>
        </w:rPr>
        <w:t>El precio de un bono se calcula al actualizar los flujos de pago de ese bono. Esa actualización se hace mediante el descuento financiero (en </w:t>
      </w:r>
      <w:hyperlink r:id="rId16" w:tooltip="Capitalización simple" w:history="1">
        <w:r w:rsidRPr="00172A72">
          <w:rPr>
            <w:rFonts w:ascii="Arial" w:eastAsia="Times New Roman" w:hAnsi="Arial" w:cs="Arial"/>
            <w:sz w:val="24"/>
            <w:szCs w:val="24"/>
            <w:lang w:eastAsia="es-ES_tradnl"/>
          </w:rPr>
          <w:t>capitalización simple</w:t>
        </w:r>
      </w:hyperlink>
      <w:r w:rsidRPr="00172A72">
        <w:rPr>
          <w:rFonts w:ascii="Arial" w:eastAsia="Times New Roman" w:hAnsi="Arial" w:cs="Arial"/>
          <w:sz w:val="24"/>
          <w:szCs w:val="24"/>
          <w:lang w:eastAsia="es-ES_tradnl"/>
        </w:rPr>
        <w:t> o compuesta, según el vencimiento) de dichos flujos, y un tipo de interés. A medida que aumente el tipo de interés de descuento (esto es, en cierta medida, el riesgo asociado a ese bono), disminuirá el precio y viceversa.</w:t>
      </w:r>
      <w:r w:rsidRPr="00172A72">
        <w:rPr>
          <w:rFonts w:ascii="Arial" w:eastAsia="Times New Roman" w:hAnsi="Arial" w:cs="Arial"/>
          <w:i/>
          <w:iCs/>
          <w:sz w:val="24"/>
          <w:szCs w:val="24"/>
          <w:lang w:eastAsia="es-ES_tradnl"/>
        </w:rPr>
        <w:t xml:space="preserve"> </w:t>
      </w:r>
    </w:p>
    <w:p w:rsidR="00172A72" w:rsidRPr="00172A72" w:rsidRDefault="00172A72" w:rsidP="00172A72">
      <w:pPr>
        <w:shd w:val="clear" w:color="auto" w:fill="FFFFFF"/>
        <w:spacing w:before="96" w:after="120" w:line="288" w:lineRule="atLeast"/>
        <w:jc w:val="both"/>
        <w:rPr>
          <w:rFonts w:ascii="Arial" w:eastAsia="Times New Roman" w:hAnsi="Arial" w:cs="Arial"/>
          <w:sz w:val="24"/>
          <w:szCs w:val="24"/>
          <w:lang w:eastAsia="es-ES_tradnl"/>
        </w:rPr>
      </w:pPr>
      <w:r w:rsidRPr="00172A72">
        <w:rPr>
          <w:rFonts w:ascii="Arial" w:eastAsia="Times New Roman" w:hAnsi="Arial" w:cs="Arial"/>
          <w:sz w:val="24"/>
          <w:szCs w:val="24"/>
          <w:lang w:eastAsia="es-ES_tradnl"/>
        </w:rPr>
        <w:t>Dentro del bono se encuentra el riesgo asociado a un bono podemos distinguir fundamentalmente entre:</w:t>
      </w:r>
    </w:p>
    <w:p w:rsidR="00172A72" w:rsidRPr="00172A72" w:rsidRDefault="00172A72" w:rsidP="00172A72">
      <w:pPr>
        <w:numPr>
          <w:ilvl w:val="0"/>
          <w:numId w:val="2"/>
        </w:numPr>
        <w:shd w:val="clear" w:color="auto" w:fill="FFFFFF"/>
        <w:spacing w:before="100" w:beforeAutospacing="1" w:after="24" w:line="288" w:lineRule="atLeast"/>
        <w:ind w:left="384"/>
        <w:jc w:val="both"/>
        <w:rPr>
          <w:rFonts w:ascii="Arial" w:eastAsia="Times New Roman" w:hAnsi="Arial" w:cs="Arial"/>
          <w:sz w:val="24"/>
          <w:szCs w:val="24"/>
          <w:lang w:eastAsia="es-ES_tradnl"/>
        </w:rPr>
      </w:pPr>
      <w:r w:rsidRPr="00172A72">
        <w:rPr>
          <w:rFonts w:ascii="Arial" w:eastAsia="Times New Roman" w:hAnsi="Arial" w:cs="Arial"/>
          <w:sz w:val="24"/>
          <w:szCs w:val="24"/>
          <w:lang w:eastAsia="es-ES_tradnl"/>
        </w:rPr>
        <w:t>Riesgo de mercado: que varíe el precio del bono por variación en los tipos de interés del mercado.</w:t>
      </w:r>
    </w:p>
    <w:p w:rsidR="00172A72" w:rsidRPr="00172A72" w:rsidRDefault="00172A72" w:rsidP="00172A72">
      <w:pPr>
        <w:numPr>
          <w:ilvl w:val="0"/>
          <w:numId w:val="2"/>
        </w:numPr>
        <w:shd w:val="clear" w:color="auto" w:fill="FFFFFF"/>
        <w:spacing w:before="100" w:beforeAutospacing="1" w:after="24" w:line="288" w:lineRule="atLeast"/>
        <w:ind w:left="384"/>
        <w:jc w:val="both"/>
        <w:rPr>
          <w:rFonts w:ascii="Arial" w:eastAsia="Times New Roman" w:hAnsi="Arial" w:cs="Arial"/>
          <w:sz w:val="24"/>
          <w:szCs w:val="24"/>
          <w:lang w:eastAsia="es-ES_tradnl"/>
        </w:rPr>
      </w:pPr>
      <w:hyperlink r:id="rId17" w:tooltip="Riesgo de crédito" w:history="1">
        <w:r w:rsidRPr="00172A72">
          <w:rPr>
            <w:rFonts w:ascii="Arial" w:eastAsia="Times New Roman" w:hAnsi="Arial" w:cs="Arial"/>
            <w:sz w:val="24"/>
            <w:szCs w:val="24"/>
            <w:lang w:eastAsia="es-ES_tradnl"/>
          </w:rPr>
          <w:t>Riesgo de crédito</w:t>
        </w:r>
      </w:hyperlink>
      <w:r w:rsidRPr="00172A72">
        <w:rPr>
          <w:rFonts w:ascii="Arial" w:eastAsia="Times New Roman" w:hAnsi="Arial" w:cs="Arial"/>
          <w:sz w:val="24"/>
          <w:szCs w:val="24"/>
          <w:lang w:eastAsia="es-ES_tradnl"/>
        </w:rPr>
        <w:t>: posibilidad de que el emisor del bono no pueda/quiera (en caso de repudio) hacer frente a los pagos derivados de dichos instrumentos de renta fija.</w:t>
      </w:r>
    </w:p>
    <w:p w:rsidR="00172A72" w:rsidRPr="00172A72" w:rsidRDefault="00172A72" w:rsidP="00172A72">
      <w:pPr>
        <w:shd w:val="clear" w:color="auto" w:fill="FFFFFF"/>
        <w:spacing w:before="96" w:after="120" w:line="288" w:lineRule="atLeast"/>
        <w:jc w:val="both"/>
        <w:rPr>
          <w:rFonts w:ascii="Arial" w:eastAsia="Times New Roman" w:hAnsi="Arial" w:cs="Arial"/>
          <w:sz w:val="24"/>
          <w:szCs w:val="24"/>
          <w:lang w:eastAsia="es-ES_tradnl"/>
        </w:rPr>
      </w:pPr>
      <w:r w:rsidRPr="00172A72">
        <w:rPr>
          <w:rFonts w:ascii="Arial" w:eastAsia="Times New Roman" w:hAnsi="Arial" w:cs="Arial"/>
          <w:sz w:val="24"/>
          <w:szCs w:val="24"/>
          <w:lang w:eastAsia="es-ES_tradnl"/>
        </w:rPr>
        <w:t>También son muy comunes en los mercados emergentes los </w:t>
      </w:r>
      <w:r w:rsidRPr="00172A72">
        <w:rPr>
          <w:rFonts w:ascii="Arial" w:eastAsia="Times New Roman" w:hAnsi="Arial" w:cs="Arial"/>
          <w:bCs/>
          <w:sz w:val="24"/>
          <w:szCs w:val="24"/>
          <w:lang w:eastAsia="es-ES_tradnl"/>
        </w:rPr>
        <w:t>bonos amortizables</w:t>
      </w:r>
      <w:r w:rsidRPr="00172A72">
        <w:rPr>
          <w:rFonts w:ascii="Arial" w:eastAsia="Times New Roman" w:hAnsi="Arial" w:cs="Arial"/>
          <w:sz w:val="24"/>
          <w:szCs w:val="24"/>
          <w:lang w:eastAsia="es-ES_tradnl"/>
        </w:rPr>
        <w:t>, o del inglés </w:t>
      </w:r>
      <w:r w:rsidRPr="00172A72">
        <w:rPr>
          <w:rFonts w:ascii="Arial" w:eastAsia="Times New Roman" w:hAnsi="Arial" w:cs="Arial"/>
          <w:bCs/>
          <w:i/>
          <w:iCs/>
          <w:sz w:val="24"/>
          <w:szCs w:val="24"/>
          <w:lang w:eastAsia="es-ES_tradnl"/>
        </w:rPr>
        <w:t>sinking fund</w:t>
      </w:r>
      <w:r w:rsidRPr="00172A72">
        <w:rPr>
          <w:rFonts w:ascii="Arial" w:eastAsia="Times New Roman" w:hAnsi="Arial" w:cs="Arial"/>
          <w:sz w:val="24"/>
          <w:szCs w:val="24"/>
          <w:lang w:eastAsia="es-ES_tradnl"/>
        </w:rPr>
        <w:t>. La particularidad que tiene este instrumento, es que va retornando el nominal o capital adeudado en cuotas o mediante un programa de amortizaciones. A medida que se concretan las amortizaciones, el nominal va disminuyendo al igual que los intereses ya que los mismos, siempre se calculan sobre nominal o capital adeudado o residual.</w:t>
      </w:r>
    </w:p>
    <w:p w:rsidR="00A9159A" w:rsidRPr="00172A72" w:rsidRDefault="00A9159A" w:rsidP="00172A72">
      <w:pPr>
        <w:jc w:val="both"/>
        <w:rPr>
          <w:rFonts w:ascii="Arial" w:hAnsi="Arial" w:cs="Arial"/>
          <w:sz w:val="24"/>
          <w:szCs w:val="24"/>
        </w:rPr>
      </w:pPr>
    </w:p>
    <w:sectPr w:rsidR="00A9159A" w:rsidRPr="00172A7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F5DBB"/>
    <w:multiLevelType w:val="multilevel"/>
    <w:tmpl w:val="21B80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522721"/>
    <w:multiLevelType w:val="multilevel"/>
    <w:tmpl w:val="A6B044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72"/>
    <w:rsid w:val="00172A72"/>
    <w:rsid w:val="00A9159A"/>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172A72"/>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72A72"/>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apple-converted-space">
    <w:name w:val="apple-converted-space"/>
    <w:basedOn w:val="Fuentedeprrafopredeter"/>
    <w:rsid w:val="00172A72"/>
  </w:style>
  <w:style w:type="character" w:styleId="Hipervnculo">
    <w:name w:val="Hyperlink"/>
    <w:basedOn w:val="Fuentedeprrafopredeter"/>
    <w:uiPriority w:val="99"/>
    <w:semiHidden/>
    <w:unhideWhenUsed/>
    <w:rsid w:val="00172A72"/>
    <w:rPr>
      <w:color w:val="0000FF"/>
      <w:u w:val="single"/>
    </w:rPr>
  </w:style>
  <w:style w:type="character" w:customStyle="1" w:styleId="Ttulo2Car">
    <w:name w:val="Título 2 Car"/>
    <w:basedOn w:val="Fuentedeprrafopredeter"/>
    <w:link w:val="Ttulo2"/>
    <w:uiPriority w:val="9"/>
    <w:rsid w:val="00172A72"/>
    <w:rPr>
      <w:rFonts w:ascii="Times New Roman" w:eastAsia="Times New Roman" w:hAnsi="Times New Roman" w:cs="Times New Roman"/>
      <w:b/>
      <w:bCs/>
      <w:sz w:val="36"/>
      <w:szCs w:val="36"/>
      <w:lang w:eastAsia="es-ES_tradnl"/>
    </w:rPr>
  </w:style>
  <w:style w:type="character" w:customStyle="1" w:styleId="mw-headline">
    <w:name w:val="mw-headline"/>
    <w:basedOn w:val="Fuentedeprrafopredeter"/>
    <w:rsid w:val="00172A72"/>
  </w:style>
  <w:style w:type="character" w:customStyle="1" w:styleId="editsection">
    <w:name w:val="editsection"/>
    <w:basedOn w:val="Fuentedeprrafopredeter"/>
    <w:rsid w:val="00172A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172A72"/>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72A72"/>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apple-converted-space">
    <w:name w:val="apple-converted-space"/>
    <w:basedOn w:val="Fuentedeprrafopredeter"/>
    <w:rsid w:val="00172A72"/>
  </w:style>
  <w:style w:type="character" w:styleId="Hipervnculo">
    <w:name w:val="Hyperlink"/>
    <w:basedOn w:val="Fuentedeprrafopredeter"/>
    <w:uiPriority w:val="99"/>
    <w:semiHidden/>
    <w:unhideWhenUsed/>
    <w:rsid w:val="00172A72"/>
    <w:rPr>
      <w:color w:val="0000FF"/>
      <w:u w:val="single"/>
    </w:rPr>
  </w:style>
  <w:style w:type="character" w:customStyle="1" w:styleId="Ttulo2Car">
    <w:name w:val="Título 2 Car"/>
    <w:basedOn w:val="Fuentedeprrafopredeter"/>
    <w:link w:val="Ttulo2"/>
    <w:uiPriority w:val="9"/>
    <w:rsid w:val="00172A72"/>
    <w:rPr>
      <w:rFonts w:ascii="Times New Roman" w:eastAsia="Times New Roman" w:hAnsi="Times New Roman" w:cs="Times New Roman"/>
      <w:b/>
      <w:bCs/>
      <w:sz w:val="36"/>
      <w:szCs w:val="36"/>
      <w:lang w:eastAsia="es-ES_tradnl"/>
    </w:rPr>
  </w:style>
  <w:style w:type="character" w:customStyle="1" w:styleId="mw-headline">
    <w:name w:val="mw-headline"/>
    <w:basedOn w:val="Fuentedeprrafopredeter"/>
    <w:rsid w:val="00172A72"/>
  </w:style>
  <w:style w:type="character" w:customStyle="1" w:styleId="editsection">
    <w:name w:val="editsection"/>
    <w:basedOn w:val="Fuentedeprrafopredeter"/>
    <w:rsid w:val="00172A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430132">
      <w:bodyDiv w:val="1"/>
      <w:marLeft w:val="0"/>
      <w:marRight w:val="0"/>
      <w:marTop w:val="0"/>
      <w:marBottom w:val="0"/>
      <w:divBdr>
        <w:top w:val="none" w:sz="0" w:space="0" w:color="auto"/>
        <w:left w:val="none" w:sz="0" w:space="0" w:color="auto"/>
        <w:bottom w:val="none" w:sz="0" w:space="0" w:color="auto"/>
        <w:right w:val="none" w:sz="0" w:space="0" w:color="auto"/>
      </w:divBdr>
    </w:div>
    <w:div w:id="2037388095">
      <w:bodyDiv w:val="1"/>
      <w:marLeft w:val="0"/>
      <w:marRight w:val="0"/>
      <w:marTop w:val="0"/>
      <w:marBottom w:val="0"/>
      <w:divBdr>
        <w:top w:val="none" w:sz="0" w:space="0" w:color="auto"/>
        <w:left w:val="none" w:sz="0" w:space="0" w:color="auto"/>
        <w:bottom w:val="none" w:sz="0" w:space="0" w:color="auto"/>
        <w:right w:val="none" w:sz="0" w:space="0" w:color="auto"/>
      </w:divBdr>
      <w:divsChild>
        <w:div w:id="757679100">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ndex.php?title=Emitir&amp;action=edit&amp;redlink=1" TargetMode="External"/><Relationship Id="rId13" Type="http://schemas.openxmlformats.org/officeDocument/2006/relationships/hyperlink" Target="http://es.wikipedia.org/wiki/Inter%C3%A9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s.wikipedia.org/wiki/Renta_fija" TargetMode="External"/><Relationship Id="rId12" Type="http://schemas.openxmlformats.org/officeDocument/2006/relationships/hyperlink" Target="http://es.wikipedia.org/wiki/Mercados_financieros" TargetMode="External"/><Relationship Id="rId17" Type="http://schemas.openxmlformats.org/officeDocument/2006/relationships/hyperlink" Target="http://es.wikipedia.org/wiki/Riesgo_de_cr%C3%A9dito" TargetMode="External"/><Relationship Id="rId2" Type="http://schemas.openxmlformats.org/officeDocument/2006/relationships/styles" Target="styles.xml"/><Relationship Id="rId16" Type="http://schemas.openxmlformats.org/officeDocument/2006/relationships/hyperlink" Target="http://es.wikipedia.org/wiki/Capitalizaci%C3%B3n_simple" TargetMode="External"/><Relationship Id="rId1" Type="http://schemas.openxmlformats.org/officeDocument/2006/relationships/numbering" Target="numbering.xml"/><Relationship Id="rId6" Type="http://schemas.openxmlformats.org/officeDocument/2006/relationships/hyperlink" Target="http://es.wikipedia.org/wiki/Deuda_activa" TargetMode="External"/><Relationship Id="rId11" Type="http://schemas.openxmlformats.org/officeDocument/2006/relationships/hyperlink" Target="http://es.wikipedia.org/wiki/Corporaci%C3%B3n_Andina_de_Fomento" TargetMode="External"/><Relationship Id="rId5" Type="http://schemas.openxmlformats.org/officeDocument/2006/relationships/webSettings" Target="webSettings.xml"/><Relationship Id="rId15" Type="http://schemas.openxmlformats.org/officeDocument/2006/relationships/hyperlink" Target="http://es.wikipedia.org/wiki/Bono_basura" TargetMode="External"/><Relationship Id="rId10" Type="http://schemas.openxmlformats.org/officeDocument/2006/relationships/hyperlink" Target="http://es.wikipedia.org/wiki/Banco_Europeo_de_Inversion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s.wikipedia.org/wiki/Empresa" TargetMode="External"/><Relationship Id="rId14" Type="http://schemas.openxmlformats.org/officeDocument/2006/relationships/hyperlink" Target="http://es.wikipedia.org/wiki/Acci%C3%B3n_(finanza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801</Words>
  <Characters>4409</Characters>
  <Application>Microsoft Office Word</Application>
  <DocSecurity>0</DocSecurity>
  <Lines>36</Lines>
  <Paragraphs>10</Paragraphs>
  <ScaleCrop>false</ScaleCrop>
  <Company/>
  <LinksUpToDate>false</LinksUpToDate>
  <CharactersWithSpaces>5200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Elizondo</dc:creator>
  <cp:lastModifiedBy>Elizondo</cp:lastModifiedBy>
  <cp:revision>1</cp:revision>
  <dcterms:created xsi:type="dcterms:W3CDTF">2012-10-23T01:06:00Z</dcterms:created>
  <dcterms:modified xsi:type="dcterms:W3CDTF">2012-10-23T01:10:00Z</dcterms:modified>
</cp:coreProperties>
</file>