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F1A06" w:rsidRDefault="00C5364E">
      <w:r w:rsidRPr="005A7049">
        <w:rPr>
          <w:noProof/>
          <w:lang w:eastAsia="es-SV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6" type="#_x0000_t84" style="position:absolute;margin-left:115.95pt;margin-top:-12.35pt;width:201pt;height:76.5pt;z-index:251658240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8E3154" w:rsidRPr="00B13BD0" w:rsidRDefault="00B13BD0">
                  <w:pPr>
                    <w:rPr>
                      <w:rFonts w:asciiTheme="majorHAnsi" w:hAnsiTheme="majorHAnsi"/>
                      <w:b/>
                      <w:sz w:val="36"/>
                      <w:szCs w:val="36"/>
                    </w:rPr>
                  </w:pPr>
                  <w:r w:rsidRPr="00B13BD0">
                    <w:rPr>
                      <w:rFonts w:asciiTheme="majorHAnsi" w:hAnsiTheme="majorHAnsi"/>
                      <w:b/>
                      <w:sz w:val="36"/>
                      <w:szCs w:val="36"/>
                    </w:rPr>
                    <w:t>PROCEDIMIENTOS  DE CONTROL INTERNO</w:t>
                  </w:r>
                </w:p>
              </w:txbxContent>
            </v:textbox>
          </v:shape>
        </w:pict>
      </w:r>
    </w:p>
    <w:p w:rsidR="007F1A06" w:rsidRPr="007F1A06" w:rsidRDefault="007F1A06" w:rsidP="007F1A06"/>
    <w:p w:rsidR="007F1A06" w:rsidRPr="007F1A06" w:rsidRDefault="00C5364E" w:rsidP="007F1A06">
      <w:r w:rsidRPr="005A7049"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128.7pt;margin-top:17.75pt;width:58.5pt;height:61.5pt;flip:x;z-index:251663360" o:connectortype="straight">
            <v:stroke endarrow="block"/>
          </v:shape>
        </w:pict>
      </w:r>
      <w:r w:rsidRPr="005A7049">
        <w:rPr>
          <w:noProof/>
          <w:lang w:eastAsia="es-SV"/>
        </w:rPr>
        <w:pict>
          <v:shape id="_x0000_s1032" type="#_x0000_t32" style="position:absolute;margin-left:259.2pt;margin-top:17.75pt;width:78.75pt;height:61.5pt;z-index:251664384" o:connectortype="straight">
            <v:stroke endarrow="block"/>
          </v:shape>
        </w:pict>
      </w:r>
    </w:p>
    <w:p w:rsidR="007F1A06" w:rsidRPr="007F1A06" w:rsidRDefault="007F1A06" w:rsidP="007F1A06"/>
    <w:p w:rsidR="007F1A06" w:rsidRPr="007F1A06" w:rsidRDefault="007F1A06" w:rsidP="007F1A06"/>
    <w:p w:rsidR="007F1A06" w:rsidRPr="007F1A06" w:rsidRDefault="00C5364E" w:rsidP="007F1A06">
      <w:r w:rsidRPr="005A7049">
        <w:rPr>
          <w:noProof/>
          <w:lang w:eastAsia="es-SV"/>
        </w:rPr>
        <w:pict>
          <v:shape id="_x0000_s1028" type="#_x0000_t84" style="position:absolute;margin-left:-34.8pt;margin-top:10.45pt;width:238.5pt;height:42pt;z-index:25166028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28">
              <w:txbxContent>
                <w:p w:rsidR="008E3154" w:rsidRDefault="006D1652">
                  <w:r w:rsidRPr="006D1652">
                    <w:rPr>
                      <w:b/>
                      <w:u w:val="single"/>
                    </w:rPr>
                    <w:t>Asignación de responsabilidades:</w:t>
                  </w:r>
                  <w:r>
                    <w:t xml:space="preserve"> Cada empleado debe tener cierta responsabilidad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27" type="#_x0000_t84" style="position:absolute;margin-left:259.2pt;margin-top:9.7pt;width:217.5pt;height:42.75pt;z-index:25165926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27">
              <w:txbxContent>
                <w:p w:rsidR="008E3154" w:rsidRPr="00B13BD0" w:rsidRDefault="00B13BD0">
                  <w:pPr>
                    <w:rPr>
                      <w:b/>
                      <w:u w:val="single"/>
                    </w:rPr>
                  </w:pPr>
                  <w:r w:rsidRPr="00B13BD0">
                    <w:rPr>
                      <w:b/>
                      <w:u w:val="single"/>
                    </w:rPr>
                    <w:t xml:space="preserve">Personal competente, confiable y con Ética: </w:t>
                  </w:r>
                </w:p>
              </w:txbxContent>
            </v:textbox>
          </v:shape>
        </w:pict>
      </w:r>
    </w:p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C5364E" w:rsidP="007F1A06">
      <w:r w:rsidRPr="005A7049">
        <w:rPr>
          <w:noProof/>
          <w:lang w:eastAsia="es-SV"/>
        </w:rPr>
        <w:pict>
          <v:roundrect id="_x0000_s1034" style="position:absolute;margin-left:242.7pt;margin-top:22.65pt;width:236.25pt;height:84pt;z-index:251666432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34">
              <w:txbxContent>
                <w:p w:rsidR="006D1652" w:rsidRPr="007F1A06" w:rsidRDefault="007F1A06">
                  <w:r w:rsidRPr="007F1A06">
                    <w:rPr>
                      <w:b/>
                    </w:rPr>
                    <w:t>1.</w:t>
                  </w:r>
                  <w:r w:rsidRPr="007F1A06">
                    <w:rPr>
                      <w:b/>
                      <w:u w:val="single"/>
                    </w:rPr>
                    <w:t xml:space="preserve"> Separación entre las operaciones y la Contabilidad:</w:t>
                  </w:r>
                  <w:r>
                    <w:t xml:space="preserve"> La contabilidad debe estar completamente separada de los departamentos operativos, como de producción y ventas</w:t>
                  </w:r>
                </w:p>
              </w:txbxContent>
            </v:textbox>
          </v:roundrect>
        </w:pict>
      </w:r>
    </w:p>
    <w:p w:rsidR="007F1A06" w:rsidRPr="007F1A06" w:rsidRDefault="007F1A06" w:rsidP="007F1A06"/>
    <w:p w:rsidR="007F1A06" w:rsidRDefault="00C5364E" w:rsidP="007F1A06">
      <w:r w:rsidRPr="005A7049">
        <w:rPr>
          <w:noProof/>
          <w:lang w:eastAsia="es-SV"/>
        </w:rPr>
        <w:pict>
          <v:shape id="_x0000_s1036" type="#_x0000_t32" style="position:absolute;margin-left:109.2pt;margin-top:22.05pt;width:133.5pt;height:81pt;flip:y;z-index:251667456" o:connectortype="straight">
            <v:stroke endarrow="block"/>
          </v:shape>
        </w:pict>
      </w:r>
    </w:p>
    <w:p w:rsidR="000608BF" w:rsidRDefault="000608BF" w:rsidP="007F1A06"/>
    <w:p w:rsidR="000608BF" w:rsidRDefault="000608BF" w:rsidP="007F1A06"/>
    <w:p w:rsidR="000608BF" w:rsidRPr="007F1A06" w:rsidRDefault="000608BF" w:rsidP="007F1A06"/>
    <w:p w:rsidR="007F1A06" w:rsidRDefault="00C5364E" w:rsidP="007F1A06">
      <w:r w:rsidRPr="005A7049">
        <w:rPr>
          <w:noProof/>
          <w:lang w:eastAsia="es-SV"/>
        </w:rPr>
        <w:pict>
          <v:roundrect id="_x0000_s1033" style="position:absolute;margin-left:-49.05pt;margin-top:1.25pt;width:189.75pt;height:54pt;z-index:251665408" arcsize="10923f" fillcolor="#b2a1c7 [1943]" strokecolor="#8064a2 [3207]" strokeweight="1pt">
            <v:fill color2="#8064a2 [3207]" focus="50%" type="gradient"/>
            <v:shadow on="t" type="perspective" color="#3f3151 [1607]" offset="1pt" offset2="-3pt"/>
            <v:textbox style="mso-next-textbox:#_x0000_s1033">
              <w:txbxContent>
                <w:p w:rsidR="006D1652" w:rsidRPr="007F1A06" w:rsidRDefault="007F1A06" w:rsidP="007F1A06">
                  <w:pPr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7F1A06">
                    <w:rPr>
                      <w:rFonts w:asciiTheme="majorHAnsi" w:hAnsiTheme="majorHAnsi"/>
                      <w:sz w:val="32"/>
                      <w:szCs w:val="32"/>
                    </w:rPr>
                    <w:t>Separación de Responsabilidades</w:t>
                  </w:r>
                </w:p>
              </w:txbxContent>
            </v:textbox>
          </v:roundrect>
        </w:pict>
      </w:r>
    </w:p>
    <w:p w:rsidR="000608BF" w:rsidRDefault="000608BF" w:rsidP="007F1A06"/>
    <w:p w:rsidR="000608BF" w:rsidRDefault="00C5364E" w:rsidP="007F1A06">
      <w:r w:rsidRPr="005A7049">
        <w:rPr>
          <w:noProof/>
          <w:lang w:eastAsia="es-SV"/>
        </w:rPr>
        <w:pict>
          <v:shape id="_x0000_s1037" type="#_x0000_t32" style="position:absolute;margin-left:87.45pt;margin-top:8.15pt;width:2in;height:61.5pt;z-index:251668480" o:connectortype="straight">
            <v:stroke endarrow="block"/>
          </v:shape>
        </w:pict>
      </w:r>
    </w:p>
    <w:p w:rsidR="000608BF" w:rsidRPr="007F1A06" w:rsidRDefault="00C5364E" w:rsidP="007F1A06">
      <w:r w:rsidRPr="005A7049">
        <w:rPr>
          <w:noProof/>
          <w:lang w:eastAsia="es-SV"/>
        </w:rPr>
        <w:pict>
          <v:roundrect id="_x0000_s1030" style="position:absolute;margin-left:235.95pt;margin-top:3.7pt;width:222.75pt;height:80.25pt;z-index:251662336" arcsize="10923f" fillcolor="#92cddc [1944]" strokecolor="#4bacc6 [3208]" strokeweight="1pt">
            <v:fill color2="#4bacc6 [3208]" focus="50%" type="gradient"/>
            <v:shadow on="t" type="perspective" color="#205867 [1608]" offset="1pt" offset2="-3pt"/>
            <v:textbox style="mso-next-textbox:#_x0000_s1030">
              <w:txbxContent>
                <w:p w:rsidR="008E3154" w:rsidRDefault="007F1A06">
                  <w:r w:rsidRPr="007F1A06">
                    <w:rPr>
                      <w:b/>
                      <w:u w:val="single"/>
                    </w:rPr>
                    <w:t>2. Separación entre la custodia de los activos y la Contabilidad:</w:t>
                  </w:r>
                  <w:r>
                    <w:t xml:space="preserve"> Los Contadores no tienen que manejar efectivo, en tanto que los cajeros no deben tener acceso a los registros contables.</w:t>
                  </w:r>
                </w:p>
              </w:txbxContent>
            </v:textbox>
          </v:roundrect>
        </w:pict>
      </w:r>
    </w:p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7F1A06" w:rsidP="007F1A06"/>
    <w:p w:rsidR="007F1A06" w:rsidRPr="007F1A06" w:rsidRDefault="00C5364E" w:rsidP="007F1A06">
      <w:r w:rsidRPr="005A7049">
        <w:rPr>
          <w:noProof/>
          <w:lang w:eastAsia="es-SV"/>
        </w:rPr>
        <w:lastRenderedPageBreak/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54" type="#_x0000_t80" style="position:absolute;margin-left:128.7pt;margin-top:-28.85pt;width:175.5pt;height:43.5pt;z-index:25168384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054">
              <w:txbxContent>
                <w:p w:rsidR="00381362" w:rsidRPr="000608BF" w:rsidRDefault="00381362" w:rsidP="00381362">
                  <w:pPr>
                    <w:jc w:val="center"/>
                    <w:rPr>
                      <w:rFonts w:asciiTheme="majorHAnsi" w:hAnsiTheme="majorHAnsi"/>
                      <w:sz w:val="44"/>
                      <w:szCs w:val="44"/>
                    </w:rPr>
                  </w:pPr>
                  <w:r w:rsidRPr="000608BF">
                    <w:rPr>
                      <w:rFonts w:asciiTheme="majorHAnsi" w:hAnsiTheme="majorHAnsi"/>
                      <w:sz w:val="44"/>
                      <w:szCs w:val="44"/>
                    </w:rPr>
                    <w:t>AUDITORIAS</w:t>
                  </w:r>
                </w:p>
              </w:txbxContent>
            </v:textbox>
          </v:shape>
        </w:pict>
      </w:r>
      <w:r w:rsidR="005A7049" w:rsidRPr="005A7049">
        <w:rPr>
          <w:noProof/>
          <w:lang w:eastAsia="es-SV"/>
        </w:rPr>
        <w:pict>
          <v:shape id="_x0000_s1061" type="#_x0000_t32" style="position:absolute;margin-left:276.45pt;margin-top:18.45pt;width:78.75pt;height:37.5pt;z-index:251689984" o:connectortype="straight">
            <v:stroke endarrow="block"/>
          </v:shape>
        </w:pict>
      </w:r>
      <w:r w:rsidR="005A7049" w:rsidRPr="005A7049">
        <w:rPr>
          <w:noProof/>
          <w:lang w:eastAsia="es-SV"/>
        </w:rPr>
        <w:pict>
          <v:shape id="_x0000_s1059" type="#_x0000_t32" style="position:absolute;margin-left:77.7pt;margin-top:18.45pt;width:88.5pt;height:44.25pt;flip:x;z-index:251687936" o:connectortype="straight">
            <v:stroke endarrow="block"/>
          </v:shape>
        </w:pict>
      </w:r>
      <w:r w:rsidR="005A7049" w:rsidRPr="005A7049">
        <w:rPr>
          <w:noProof/>
          <w:lang w:eastAsia="es-SV"/>
        </w:rPr>
        <w:pict>
          <v:shape id="_x0000_s1060" type="#_x0000_t32" style="position:absolute;margin-left:198.45pt;margin-top:18.45pt;width:0;height:37.5pt;z-index:251688960" o:connectortype="straight">
            <v:stroke endarrow="block"/>
          </v:shape>
        </w:pict>
      </w:r>
    </w:p>
    <w:p w:rsidR="007F1A06" w:rsidRPr="007F1A06" w:rsidRDefault="007F1A06" w:rsidP="007F1A06"/>
    <w:p w:rsidR="007F1A06" w:rsidRPr="007F1A06" w:rsidRDefault="005A7049" w:rsidP="007F1A06">
      <w:r w:rsidRPr="005A7049">
        <w:rPr>
          <w:noProof/>
          <w:lang w:eastAsia="es-SV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5" type="#_x0000_t15" style="position:absolute;margin-left:-58.8pt;margin-top:11.8pt;width:168.75pt;height:44.25pt;z-index:251684864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55">
              <w:txbxContent>
                <w:p w:rsidR="00381362" w:rsidRDefault="00381362" w:rsidP="00381362">
                  <w:r>
                    <w:t>Se realiza para evaluar los recursos contables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58" type="#_x0000_t15" style="position:absolute;margin-left:320.7pt;margin-top:5.05pt;width:187.5pt;height:51pt;z-index:251686912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381362" w:rsidRDefault="00381362" w:rsidP="00381362">
                  <w:r>
                    <w:t>Los auditores deben examinar los Controles Internos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57" type="#_x0000_t15" style="position:absolute;margin-left:128.7pt;margin-top:5.05pt;width:180pt;height:51pt;z-index:251685888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>
              <w:txbxContent>
                <w:p w:rsidR="00381362" w:rsidRDefault="00381362" w:rsidP="00381362">
                  <w:r>
                    <w:t>Es un Examen de los Estados Financieros y el Sistema Contable de la Compañía</w:t>
                  </w:r>
                </w:p>
              </w:txbxContent>
            </v:textbox>
          </v:shape>
        </w:pict>
      </w:r>
    </w:p>
    <w:p w:rsidR="007F1A06" w:rsidRDefault="00381362" w:rsidP="00381362">
      <w:pPr>
        <w:tabs>
          <w:tab w:val="left" w:pos="3705"/>
        </w:tabs>
      </w:pPr>
      <w:r>
        <w:tab/>
      </w:r>
    </w:p>
    <w:p w:rsidR="00130CF3" w:rsidRDefault="007F1A06" w:rsidP="007F1A06">
      <w:pPr>
        <w:tabs>
          <w:tab w:val="left" w:pos="1770"/>
        </w:tabs>
      </w:pPr>
      <w:r>
        <w:tab/>
      </w:r>
    </w:p>
    <w:p w:rsidR="007F1A06" w:rsidRDefault="007F1A06" w:rsidP="007F1A06">
      <w:pPr>
        <w:tabs>
          <w:tab w:val="left" w:pos="1770"/>
        </w:tabs>
      </w:pPr>
    </w:p>
    <w:p w:rsidR="000608BF" w:rsidRDefault="005A7049" w:rsidP="007F1A06">
      <w:pPr>
        <w:tabs>
          <w:tab w:val="left" w:pos="1770"/>
        </w:tabs>
      </w:pPr>
      <w:r w:rsidRPr="005A7049">
        <w:rPr>
          <w:noProof/>
          <w:lang w:eastAsia="es-SV"/>
        </w:rPr>
        <w:pict>
          <v:shape id="_x0000_s1045" type="#_x0000_t32" style="position:absolute;margin-left:109.95pt;margin-top:183.45pt;width:141pt;height:78pt;z-index:251675648" o:connectortype="straight">
            <v:stroke endarrow="block"/>
          </v:shape>
        </w:pict>
      </w:r>
      <w:r w:rsidRPr="005A7049">
        <w:rPr>
          <w:noProof/>
          <w:lang w:eastAsia="es-SV"/>
        </w:rPr>
        <w:pict>
          <v:shape id="_x0000_s1043" type="#_x0000_t32" style="position:absolute;margin-left:106.2pt;margin-top:61.95pt;width:141pt;height:84pt;flip:y;z-index:251673600" o:connectortype="straight">
            <v:stroke endarrow="block"/>
          </v:shape>
        </w:pict>
      </w:r>
      <w:r w:rsidRPr="005A7049">
        <w:rPr>
          <w:noProof/>
          <w:lang w:eastAsia="es-SV"/>
        </w:rPr>
        <w:pict>
          <v:shape id="_x0000_s1044" type="#_x0000_t32" style="position:absolute;margin-left:181.2pt;margin-top:162.45pt;width:66pt;height:3.75pt;flip:y;z-index:251674624" o:connectortype="straight">
            <v:stroke endarrow="block"/>
          </v:shape>
        </w:pict>
      </w:r>
      <w:r w:rsidRPr="005A7049">
        <w:rPr>
          <w:noProof/>
          <w:lang w:eastAsia="es-SV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9" type="#_x0000_t98" style="position:absolute;margin-left:247.2pt;margin-top:41.7pt;width:158.25pt;height:45pt;z-index:251670528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7F1A06" w:rsidRDefault="007F1A06">
                  <w:r>
                    <w:t xml:space="preserve">Brindan los detalles de las transacciones de negocios 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38" type="#_x0000_t98" style="position:absolute;margin-left:6.45pt;margin-top:145.95pt;width:174.75pt;height:37.5pt;z-index:251669504" fillcolor="#4bacc6 [3208]" strokecolor="#f2f2f2 [3041]" strokeweight="1pt">
            <v:fill color2="#205867 [1608]" angle="-135" focus="100%" type="gradient"/>
            <v:shadow on="t" type="perspective" color="#b6dde8 [1304]" opacity=".5" origin=",.5" offset="0,0" matrix=",-56756f,,.5"/>
            <v:textbox>
              <w:txbxContent>
                <w:p w:rsidR="007F1A06" w:rsidRPr="007F1A06" w:rsidRDefault="007F1A06" w:rsidP="007F1A06">
                  <w:pPr>
                    <w:jc w:val="center"/>
                    <w:rPr>
                      <w:rFonts w:asciiTheme="majorHAnsi" w:hAnsiTheme="majorHAnsi"/>
                      <w:sz w:val="44"/>
                      <w:szCs w:val="44"/>
                    </w:rPr>
                  </w:pPr>
                  <w:r w:rsidRPr="007F1A06">
                    <w:rPr>
                      <w:rFonts w:asciiTheme="majorHAnsi" w:hAnsiTheme="majorHAnsi"/>
                      <w:sz w:val="44"/>
                      <w:szCs w:val="44"/>
                    </w:rPr>
                    <w:t>DOCUMENTOS</w:t>
                  </w:r>
                </w:p>
              </w:txbxContent>
            </v:textbox>
          </v:shape>
        </w:pict>
      </w:r>
    </w:p>
    <w:p w:rsidR="000608BF" w:rsidRPr="000608BF" w:rsidRDefault="000608BF" w:rsidP="000608BF"/>
    <w:p w:rsidR="000608BF" w:rsidRPr="000608BF" w:rsidRDefault="000608BF" w:rsidP="000608BF"/>
    <w:p w:rsidR="000608BF" w:rsidRPr="000608BF" w:rsidRDefault="000608BF" w:rsidP="000608BF"/>
    <w:p w:rsidR="000608BF" w:rsidRPr="000608BF" w:rsidRDefault="000608BF" w:rsidP="000608BF"/>
    <w:p w:rsidR="000608BF" w:rsidRPr="000608BF" w:rsidRDefault="00C81C78" w:rsidP="000608BF">
      <w:r w:rsidRPr="005A7049">
        <w:rPr>
          <w:noProof/>
          <w:lang w:eastAsia="es-SV"/>
        </w:rPr>
        <w:pict>
          <v:shape id="_x0000_s1041" type="#_x0000_t98" style="position:absolute;margin-left:247.2pt;margin-top:11.25pt;width:164.25pt;height:67.5pt;z-index:251672576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7F1A06" w:rsidRDefault="007F1A06" w:rsidP="007F1A06">
                  <w:r>
                    <w:t>Deben estar Pre numerados para evitar hurto y la ineficiencia</w:t>
                  </w:r>
                </w:p>
              </w:txbxContent>
            </v:textbox>
          </v:shape>
        </w:pict>
      </w:r>
    </w:p>
    <w:p w:rsidR="000608BF" w:rsidRPr="000608BF" w:rsidRDefault="000608BF" w:rsidP="000608BF"/>
    <w:p w:rsidR="000608BF" w:rsidRPr="000608BF" w:rsidRDefault="000608BF" w:rsidP="000608BF"/>
    <w:p w:rsidR="000608BF" w:rsidRPr="000608BF" w:rsidRDefault="000608BF" w:rsidP="000608BF"/>
    <w:p w:rsidR="000608BF" w:rsidRPr="000608BF" w:rsidRDefault="00C81C78" w:rsidP="000608BF">
      <w:r w:rsidRPr="005A7049">
        <w:rPr>
          <w:noProof/>
          <w:lang w:eastAsia="es-SV"/>
        </w:rPr>
        <w:pict>
          <v:shape id="_x0000_s1040" type="#_x0000_t98" style="position:absolute;margin-left:250.95pt;margin-top:13.7pt;width:150.75pt;height:70.05pt;z-index:251671552" fillcolor="#f79646 [3209]" strokecolor="#f2f2f2 [3041]" strokeweight="1pt">
            <v:fill color2="#974706 [1609]" angle="-135" focus="100%" type="gradient"/>
            <v:shadow on="t" type="perspective" color="#fbd4b4 [1305]" opacity=".5" origin=",.5" offset="0,0" matrix=",-56756f,,.5"/>
            <v:textbox>
              <w:txbxContent>
                <w:p w:rsidR="007F1A06" w:rsidRDefault="007F1A06">
                  <w:r>
                    <w:t>Incluyen facturas y Pedidos por Fax</w:t>
                  </w:r>
                </w:p>
              </w:txbxContent>
            </v:textbox>
          </v:shape>
        </w:pict>
      </w:r>
    </w:p>
    <w:p w:rsidR="000608BF" w:rsidRPr="000608BF" w:rsidRDefault="000608BF" w:rsidP="000608BF"/>
    <w:p w:rsidR="000608BF" w:rsidRPr="000608BF" w:rsidRDefault="000608BF" w:rsidP="000608BF"/>
    <w:p w:rsidR="000608BF" w:rsidRPr="000608BF" w:rsidRDefault="000608BF" w:rsidP="000608BF"/>
    <w:p w:rsidR="000608BF" w:rsidRPr="000608BF" w:rsidRDefault="000608BF" w:rsidP="000608BF"/>
    <w:p w:rsidR="000608BF" w:rsidRDefault="000608BF" w:rsidP="000608BF"/>
    <w:p w:rsidR="007F1A06" w:rsidRDefault="000608BF" w:rsidP="000608BF">
      <w:pPr>
        <w:tabs>
          <w:tab w:val="left" w:pos="1635"/>
        </w:tabs>
      </w:pPr>
      <w:r>
        <w:tab/>
      </w:r>
    </w:p>
    <w:p w:rsidR="000608BF" w:rsidRDefault="000608BF" w:rsidP="000608BF">
      <w:pPr>
        <w:tabs>
          <w:tab w:val="left" w:pos="1635"/>
        </w:tabs>
      </w:pPr>
    </w:p>
    <w:p w:rsidR="000608BF" w:rsidRDefault="000608BF" w:rsidP="000608BF">
      <w:pPr>
        <w:tabs>
          <w:tab w:val="left" w:pos="1635"/>
        </w:tabs>
      </w:pPr>
    </w:p>
    <w:p w:rsidR="000608BF" w:rsidRDefault="000608BF" w:rsidP="000608BF">
      <w:pPr>
        <w:tabs>
          <w:tab w:val="left" w:pos="1635"/>
        </w:tabs>
      </w:pPr>
    </w:p>
    <w:p w:rsidR="000608BF" w:rsidRDefault="000608BF" w:rsidP="000608BF">
      <w:pPr>
        <w:tabs>
          <w:tab w:val="left" w:pos="1635"/>
        </w:tabs>
      </w:pPr>
    </w:p>
    <w:p w:rsidR="000608BF" w:rsidRDefault="008E6C0A" w:rsidP="000608BF">
      <w:pPr>
        <w:tabs>
          <w:tab w:val="left" w:pos="1635"/>
        </w:tabs>
      </w:pPr>
      <w:r>
        <w:rPr>
          <w:noProof/>
          <w:lang w:val="es-MX" w:eastAsia="es-MX" w:bidi="he-IL"/>
        </w:rPr>
        <w:drawing>
          <wp:inline distT="0" distB="0" distL="0" distR="0">
            <wp:extent cx="5486400" cy="3581400"/>
            <wp:effectExtent l="0" t="0" r="0" b="0"/>
            <wp:docPr id="4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608BF" w:rsidRDefault="004E5891" w:rsidP="000608BF">
      <w:pPr>
        <w:tabs>
          <w:tab w:val="left" w:pos="1635"/>
        </w:tabs>
      </w:pPr>
      <w:r w:rsidRPr="005A7049">
        <w:rPr>
          <w:noProof/>
          <w:lang w:eastAsia="es-SV"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68" type="#_x0000_t97" style="position:absolute;margin-left:128.7pt;margin-top:17.55pt;width:243pt;height:44.2pt;z-index:251696128" fillcolor="#b2a1c7 [1943]" stroked="f" strokecolor="#8064a2 [3207]" strokeweight="1pt">
            <v:fill color2="#8064a2 [3207]" focus="50%" type="gradient"/>
            <v:imagedata embosscolor="shadow add(51)"/>
            <v:shadow on="t" type="emboss" color="lineOrFill darken(153)" color2="shadow add(102)" offset="-1pt,-1pt"/>
            <v:textbox>
              <w:txbxContent>
                <w:p w:rsidR="00B3611F" w:rsidRPr="00B3611F" w:rsidRDefault="00B3611F" w:rsidP="004E5891">
                  <w:pPr>
                    <w:jc w:val="center"/>
                    <w:rPr>
                      <w:rFonts w:asciiTheme="majorHAnsi" w:hAnsiTheme="majorHAnsi"/>
                      <w:sz w:val="32"/>
                      <w:szCs w:val="32"/>
                    </w:rPr>
                  </w:pPr>
                  <w:r w:rsidRPr="00B3611F">
                    <w:rPr>
                      <w:rFonts w:asciiTheme="majorHAnsi" w:hAnsiTheme="majorHAnsi"/>
                      <w:sz w:val="32"/>
                      <w:szCs w:val="32"/>
                    </w:rPr>
                    <w:t>OTROS CONTROLES</w:t>
                  </w:r>
                </w:p>
              </w:txbxContent>
            </v:textbox>
          </v:shape>
        </w:pict>
      </w:r>
    </w:p>
    <w:p w:rsidR="006576D0" w:rsidRDefault="006576D0" w:rsidP="006576D0"/>
    <w:p w:rsidR="005F0290" w:rsidRDefault="004E5891" w:rsidP="006576D0">
      <w:pPr>
        <w:tabs>
          <w:tab w:val="left" w:pos="4935"/>
        </w:tabs>
      </w:pPr>
      <w:r>
        <w:rPr>
          <w:noProof/>
          <w:lang w:val="es-MX" w:eastAsia="es-MX" w:bidi="he-IL"/>
        </w:rPr>
        <w:pict>
          <v:shape id="_x0000_s1088" type="#_x0000_t32" style="position:absolute;margin-left:241.2pt;margin-top:10.85pt;width:0;height:25.55pt;z-index:251702272" o:connectortype="straight">
            <v:stroke endarrow="block"/>
          </v:shape>
        </w:pict>
      </w:r>
      <w:r w:rsidR="006576D0">
        <w:tab/>
      </w:r>
    </w:p>
    <w:p w:rsidR="005F0290" w:rsidRPr="005F0290" w:rsidRDefault="004E5891" w:rsidP="005F0290">
      <w:r w:rsidRPr="005A7049">
        <w:rPr>
          <w:noProof/>
          <w:lang w:eastAsia="es-SV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69" type="#_x0000_t116" style="position:absolute;margin-left:151.95pt;margin-top:7.2pt;width:188.25pt;height:66pt;z-index:251697152" fillcolor="#95b3d7 [1940]" strokecolor="#4f81bd [3204]" strokeweight="1pt">
            <v:fill color2="#4f81bd [3204]" focus="50%" type="gradient"/>
            <v:shadow on="t" type="perspective" color="#243f60 [1604]" offset="1pt" offset2="-3pt"/>
            <v:textbox>
              <w:txbxContent>
                <w:p w:rsidR="00B3611F" w:rsidRDefault="00B3611F">
                  <w:r>
                    <w:t>La clave de los controles es que el costo de estos no debe exceder el beneficio que resulte del establecimiento de ese control.</w:t>
                  </w:r>
                </w:p>
              </w:txbxContent>
            </v:textbox>
          </v:shape>
        </w:pict>
      </w:r>
    </w:p>
    <w:p w:rsidR="005F0290" w:rsidRPr="005F0290" w:rsidRDefault="005F0290" w:rsidP="005F0290"/>
    <w:p w:rsidR="005F0290" w:rsidRPr="005F0290" w:rsidRDefault="005F0290" w:rsidP="005F0290"/>
    <w:p w:rsidR="005F0290" w:rsidRPr="005F0290" w:rsidRDefault="004E5891" w:rsidP="005F0290">
      <w:r w:rsidRPr="005A7049">
        <w:rPr>
          <w:noProof/>
          <w:lang w:eastAsia="es-SV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71" type="#_x0000_t67" style="position:absolute;margin-left:162.45pt;margin-top:11.85pt;width:160.5pt;height:87.05pt;z-index:251699200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71">
              <w:txbxContent>
                <w:p w:rsidR="00B3611F" w:rsidRDefault="00B3611F">
                  <w:r>
                    <w:t>Algunos controles comunes son:</w:t>
                  </w:r>
                </w:p>
              </w:txbxContent>
            </v:textbox>
          </v:shape>
        </w:pict>
      </w:r>
    </w:p>
    <w:p w:rsidR="005F0290" w:rsidRPr="005F0290" w:rsidRDefault="005F0290" w:rsidP="005F0290"/>
    <w:p w:rsidR="005F0290" w:rsidRPr="005F0290" w:rsidRDefault="005F0290" w:rsidP="005F0290"/>
    <w:p w:rsidR="005F0290" w:rsidRPr="005F0290" w:rsidRDefault="005F0290" w:rsidP="005F0290"/>
    <w:p w:rsidR="005F0290" w:rsidRPr="005F0290" w:rsidRDefault="004E5891" w:rsidP="005F0290">
      <w:r w:rsidRPr="005A7049">
        <w:rPr>
          <w:noProof/>
          <w:lang w:eastAsia="es-SV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70" type="#_x0000_t130" style="position:absolute;margin-left:327.45pt;margin-top:19.6pt;width:171.75pt;height:51.75pt;z-index:251698176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070">
              <w:txbxContent>
                <w:p w:rsidR="00B3611F" w:rsidRDefault="00B3611F">
                  <w:r>
                    <w:t>Bóvedas a prueba de incendios para almacenar documentos importantes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72" type="#_x0000_t130" style="position:absolute;margin-left:166.95pt;margin-top:17.3pt;width:138pt;height:78.05pt;z-index:251700224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B3611F" w:rsidRDefault="00DB2800">
                  <w:r>
                    <w:t>Alarmas contra robo, alarmas contra incendio y cámaras de seguridad</w:t>
                  </w:r>
                </w:p>
              </w:txbxContent>
            </v:textbox>
          </v:shape>
        </w:pict>
      </w:r>
      <w:r w:rsidRPr="005A7049">
        <w:rPr>
          <w:noProof/>
          <w:lang w:eastAsia="es-SV"/>
        </w:rPr>
        <w:pict>
          <v:shape id="_x0000_s1074" type="#_x0000_t130" style="position:absolute;margin-left:-44.55pt;margin-top:17.3pt;width:192pt;height:67.5pt;z-index:251701248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DB2800" w:rsidRDefault="00DB2800">
                  <w:r>
                    <w:t>Capacitación de los empleados de la compañía por especialistas en prevención de pérdidas para aprender a detectar actividades sospechosas</w:t>
                  </w:r>
                </w:p>
              </w:txbxContent>
            </v:textbox>
          </v:shape>
        </w:pict>
      </w:r>
    </w:p>
    <w:p w:rsidR="005F0290" w:rsidRPr="005F0290" w:rsidRDefault="005F0290" w:rsidP="005F0290"/>
    <w:p w:rsidR="005F0290" w:rsidRPr="005F0290" w:rsidRDefault="005F0290" w:rsidP="005F0290"/>
    <w:p w:rsidR="005F0290" w:rsidRPr="005F0290" w:rsidRDefault="005F0290" w:rsidP="005F0290"/>
    <w:p w:rsidR="005F0290" w:rsidRPr="005F0290" w:rsidRDefault="005F0290" w:rsidP="004E5891">
      <w:pPr>
        <w:tabs>
          <w:tab w:val="left" w:pos="5805"/>
        </w:tabs>
      </w:pPr>
      <w:r>
        <w:tab/>
      </w:r>
    </w:p>
    <w:sectPr w:rsidR="005F0290" w:rsidRPr="005F0290" w:rsidSect="008E6C0A">
      <w:pgSz w:w="12240" w:h="15840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033" w:rsidRDefault="008E6033" w:rsidP="007F1A06">
      <w:pPr>
        <w:spacing w:after="0" w:line="240" w:lineRule="auto"/>
      </w:pPr>
      <w:r>
        <w:separator/>
      </w:r>
    </w:p>
  </w:endnote>
  <w:endnote w:type="continuationSeparator" w:id="0">
    <w:p w:rsidR="008E6033" w:rsidRDefault="008E6033" w:rsidP="007F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033" w:rsidRDefault="008E6033" w:rsidP="007F1A06">
      <w:pPr>
        <w:spacing w:after="0" w:line="240" w:lineRule="auto"/>
      </w:pPr>
      <w:r>
        <w:separator/>
      </w:r>
    </w:p>
  </w:footnote>
  <w:footnote w:type="continuationSeparator" w:id="0">
    <w:p w:rsidR="008E6033" w:rsidRDefault="008E6033" w:rsidP="007F1A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3154"/>
    <w:rsid w:val="000608BF"/>
    <w:rsid w:val="00130CF3"/>
    <w:rsid w:val="00381362"/>
    <w:rsid w:val="004E5891"/>
    <w:rsid w:val="005A7049"/>
    <w:rsid w:val="005F0290"/>
    <w:rsid w:val="006576D0"/>
    <w:rsid w:val="006D1652"/>
    <w:rsid w:val="007F1A06"/>
    <w:rsid w:val="008E3154"/>
    <w:rsid w:val="008E6033"/>
    <w:rsid w:val="008E6C0A"/>
    <w:rsid w:val="00B13BD0"/>
    <w:rsid w:val="00B3611F"/>
    <w:rsid w:val="00C5364E"/>
    <w:rsid w:val="00C81C78"/>
    <w:rsid w:val="00DB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/>
    </o:shapedefaults>
    <o:shapelayout v:ext="edit">
      <o:idmap v:ext="edit" data="1"/>
      <o:rules v:ext="edit">
        <o:r id="V:Rule24" type="connector" idref="#_x0000_s1031"/>
        <o:r id="V:Rule26" type="connector" idref="#_x0000_s1036"/>
        <o:r id="V:Rule28" type="connector" idref="#_x0000_s1032"/>
        <o:r id="V:Rule32" type="connector" idref="#_x0000_s1043"/>
        <o:r id="V:Rule33" type="connector" idref="#_x0000_s1059"/>
        <o:r id="V:Rule35" type="connector" idref="#_x0000_s1044"/>
        <o:r id="V:Rule36" type="connector" idref="#_x0000_s1061"/>
        <o:r id="V:Rule37" type="connector" idref="#_x0000_s1037"/>
        <o:r id="V:Rule39" type="connector" idref="#_x0000_s1045"/>
        <o:r id="V:Rule42" type="connector" idref="#_x0000_s1060"/>
        <o:r id="V:Rule44" type="connector" idref="#_x0000_s108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C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F1A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F1A06"/>
  </w:style>
  <w:style w:type="paragraph" w:styleId="Piedepgina">
    <w:name w:val="footer"/>
    <w:basedOn w:val="Normal"/>
    <w:link w:val="PiedepginaCar"/>
    <w:uiPriority w:val="99"/>
    <w:semiHidden/>
    <w:unhideWhenUsed/>
    <w:rsid w:val="007F1A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F1A06"/>
  </w:style>
  <w:style w:type="paragraph" w:styleId="Textodeglobo">
    <w:name w:val="Balloon Text"/>
    <w:basedOn w:val="Normal"/>
    <w:link w:val="TextodegloboCar"/>
    <w:uiPriority w:val="99"/>
    <w:semiHidden/>
    <w:unhideWhenUsed/>
    <w:rsid w:val="008E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741C15-DF31-45B9-93F0-50FD5B04791B}" type="doc">
      <dgm:prSet loTypeId="urn:microsoft.com/office/officeart/2005/8/layout/hierarchy3" loCatId="hierarchy" qsTypeId="urn:microsoft.com/office/officeart/2005/8/quickstyle/3d7" qsCatId="3D" csTypeId="urn:microsoft.com/office/officeart/2005/8/colors/accent1_2" csCatId="accent1" phldr="1"/>
      <dgm:spPr/>
      <dgm:t>
        <a:bodyPr/>
        <a:lstStyle/>
        <a:p>
          <a:endParaRPr lang="es-MX"/>
        </a:p>
      </dgm:t>
    </dgm:pt>
    <dgm:pt modelId="{04990EB9-329D-43D8-A70E-507DD06AB8A8}">
      <dgm:prSet phldrT="[Texto]">
        <dgm:style>
          <a:lnRef idx="1">
            <a:schemeClr val="accent4"/>
          </a:lnRef>
          <a:fillRef idx="3">
            <a:schemeClr val="accent4"/>
          </a:fillRef>
          <a:effectRef idx="2">
            <a:schemeClr val="accent4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s-SV" b="1"/>
            <a:t>DISPOSITIVOS ELECTRÓNICOS</a:t>
          </a:r>
          <a:endParaRPr lang="es-MX"/>
        </a:p>
      </dgm:t>
    </dgm:pt>
    <dgm:pt modelId="{6BC3AA2F-DA9D-4E4A-8FB7-95D5EF707FBD}" type="parTrans" cxnId="{C6DC3327-CDE2-4878-82CC-E22E7DB36F03}">
      <dgm:prSet/>
      <dgm:spPr/>
      <dgm:t>
        <a:bodyPr/>
        <a:lstStyle/>
        <a:p>
          <a:endParaRPr lang="es-MX"/>
        </a:p>
      </dgm:t>
    </dgm:pt>
    <dgm:pt modelId="{D76FBB27-8237-4457-B91D-DF581313FA9D}" type="sibTrans" cxnId="{C6DC3327-CDE2-4878-82CC-E22E7DB36F03}">
      <dgm:prSet/>
      <dgm:spPr/>
      <dgm:t>
        <a:bodyPr/>
        <a:lstStyle/>
        <a:p>
          <a:endParaRPr lang="es-MX"/>
        </a:p>
      </dgm:t>
    </dgm:pt>
    <dgm:pt modelId="{C8E1E867-B401-4AD9-B0C0-003351DE7991}">
      <dgm:prSet phldrT="[Texto]">
        <dgm:style>
          <a:lnRef idx="0">
            <a:schemeClr val="accent5"/>
          </a:lnRef>
          <a:fillRef idx="3">
            <a:schemeClr val="accent5"/>
          </a:fillRef>
          <a:effectRef idx="3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s-SV"/>
            <a:t>Los sistemas contables se basan cada vez más en documentos electrónicos </a:t>
          </a:r>
          <a:endParaRPr lang="es-MX"/>
        </a:p>
      </dgm:t>
    </dgm:pt>
    <dgm:pt modelId="{E3027661-7BF3-4614-9E5D-9815CF46C2CA}" type="parTrans" cxnId="{E1FAE49D-A4BD-401B-A860-53147322777D}">
      <dgm:prSet/>
      <dgm:spPr/>
      <dgm:t>
        <a:bodyPr/>
        <a:lstStyle/>
        <a:p>
          <a:endParaRPr lang="es-MX"/>
        </a:p>
      </dgm:t>
    </dgm:pt>
    <dgm:pt modelId="{8FD1C53F-2D79-47F0-A2DA-038DC0B370A5}" type="sibTrans" cxnId="{E1FAE49D-A4BD-401B-A860-53147322777D}">
      <dgm:prSet/>
      <dgm:spPr/>
      <dgm:t>
        <a:bodyPr/>
        <a:lstStyle/>
        <a:p>
          <a:endParaRPr lang="es-MX"/>
        </a:p>
      </dgm:t>
    </dgm:pt>
    <dgm:pt modelId="{B9398445-8595-48CA-902C-74F31557FB5C}">
      <dgm:prSet phldrT="[Texto]">
        <dgm:style>
          <a:lnRef idx="0">
            <a:schemeClr val="accent5"/>
          </a:lnRef>
          <a:fillRef idx="3">
            <a:schemeClr val="accent5"/>
          </a:fillRef>
          <a:effectRef idx="3">
            <a:schemeClr val="accent5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s-SV"/>
            <a:t>Ya que tiene muchos beneficios para la empresa  tales como la eficiencia </a:t>
          </a:r>
          <a:endParaRPr lang="es-MX"/>
        </a:p>
      </dgm:t>
    </dgm:pt>
    <dgm:pt modelId="{AA11D161-31C7-4F63-A56D-7AFD03FAEC75}" type="parTrans" cxnId="{0891B001-F431-42DB-8364-F84A5D7A88F7}">
      <dgm:prSet/>
      <dgm:spPr/>
      <dgm:t>
        <a:bodyPr/>
        <a:lstStyle/>
        <a:p>
          <a:endParaRPr lang="es-MX"/>
        </a:p>
      </dgm:t>
    </dgm:pt>
    <dgm:pt modelId="{D232D2C9-CA0B-4AFD-A9B2-D7D8C17CC6A6}" type="sibTrans" cxnId="{0891B001-F431-42DB-8364-F84A5D7A88F7}">
      <dgm:prSet/>
      <dgm:spPr/>
      <dgm:t>
        <a:bodyPr/>
        <a:lstStyle/>
        <a:p>
          <a:endParaRPr lang="es-MX"/>
        </a:p>
      </dgm:t>
    </dgm:pt>
    <dgm:pt modelId="{C8C759E4-E15C-418E-8229-0A9CF50D4EE4}" type="pres">
      <dgm:prSet presAssocID="{09741C15-DF31-45B9-93F0-50FD5B04791B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705F653E-A607-4E9E-887D-09753763E03F}" type="pres">
      <dgm:prSet presAssocID="{04990EB9-329D-43D8-A70E-507DD06AB8A8}" presName="root" presStyleCnt="0"/>
      <dgm:spPr/>
    </dgm:pt>
    <dgm:pt modelId="{49ED6032-A51E-4CBA-B4DB-0F0C2A4FCB56}" type="pres">
      <dgm:prSet presAssocID="{04990EB9-329D-43D8-A70E-507DD06AB8A8}" presName="rootComposite" presStyleCnt="0"/>
      <dgm:spPr/>
    </dgm:pt>
    <dgm:pt modelId="{F5D01B11-31D6-43B5-80BB-BAA1AA71A683}" type="pres">
      <dgm:prSet presAssocID="{04990EB9-329D-43D8-A70E-507DD06AB8A8}" presName="rootText" presStyleLbl="node1" presStyleIdx="0" presStyleCnt="1" custLinFactNeighborX="-3366" custLinFactNeighborY="-43"/>
      <dgm:spPr/>
      <dgm:t>
        <a:bodyPr/>
        <a:lstStyle/>
        <a:p>
          <a:endParaRPr lang="es-MX"/>
        </a:p>
      </dgm:t>
    </dgm:pt>
    <dgm:pt modelId="{98ED7AA8-561E-4223-82F1-A093C042A0FB}" type="pres">
      <dgm:prSet presAssocID="{04990EB9-329D-43D8-A70E-507DD06AB8A8}" presName="rootConnector" presStyleLbl="node1" presStyleIdx="0" presStyleCnt="1"/>
      <dgm:spPr/>
    </dgm:pt>
    <dgm:pt modelId="{525704ED-D363-462F-94E8-9CC3484BACA9}" type="pres">
      <dgm:prSet presAssocID="{04990EB9-329D-43D8-A70E-507DD06AB8A8}" presName="childShape" presStyleCnt="0"/>
      <dgm:spPr/>
    </dgm:pt>
    <dgm:pt modelId="{AA8D0EBB-C98F-4CD7-B36F-773C65EA4CE8}" type="pres">
      <dgm:prSet presAssocID="{E3027661-7BF3-4614-9E5D-9815CF46C2CA}" presName="Name13" presStyleLbl="parChTrans1D2" presStyleIdx="0" presStyleCnt="2"/>
      <dgm:spPr/>
    </dgm:pt>
    <dgm:pt modelId="{C26DFE44-0834-477C-BCD7-ED5CC16C5755}" type="pres">
      <dgm:prSet presAssocID="{C8E1E867-B401-4AD9-B0C0-003351DE7991}" presName="childText" presStyleLbl="bgAcc1" presStyleIdx="0" presStyleCnt="2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  <dgm:pt modelId="{A44189AA-6B42-456B-8C46-5EBB222108A1}" type="pres">
      <dgm:prSet presAssocID="{AA11D161-31C7-4F63-A56D-7AFD03FAEC75}" presName="Name13" presStyleLbl="parChTrans1D2" presStyleIdx="1" presStyleCnt="2"/>
      <dgm:spPr/>
    </dgm:pt>
    <dgm:pt modelId="{60A053D3-CC03-4DBD-A2ED-EC34D9EA1330}" type="pres">
      <dgm:prSet presAssocID="{B9398445-8595-48CA-902C-74F31557FB5C}" presName="childText" presStyleLbl="bgAcc1" presStyleIdx="1" presStyleCnt="2">
        <dgm:presLayoutVars>
          <dgm:bulletEnabled val="1"/>
        </dgm:presLayoutVars>
      </dgm:prSet>
      <dgm:spPr/>
      <dgm:t>
        <a:bodyPr/>
        <a:lstStyle/>
        <a:p>
          <a:endParaRPr lang="es-MX"/>
        </a:p>
      </dgm:t>
    </dgm:pt>
  </dgm:ptLst>
  <dgm:cxnLst>
    <dgm:cxn modelId="{0891B001-F431-42DB-8364-F84A5D7A88F7}" srcId="{04990EB9-329D-43D8-A70E-507DD06AB8A8}" destId="{B9398445-8595-48CA-902C-74F31557FB5C}" srcOrd="1" destOrd="0" parTransId="{AA11D161-31C7-4F63-A56D-7AFD03FAEC75}" sibTransId="{D232D2C9-CA0B-4AFD-A9B2-D7D8C17CC6A6}"/>
    <dgm:cxn modelId="{776C683C-99CA-42BC-ACBB-BBBB19F85C46}" type="presOf" srcId="{AA11D161-31C7-4F63-A56D-7AFD03FAEC75}" destId="{A44189AA-6B42-456B-8C46-5EBB222108A1}" srcOrd="0" destOrd="0" presId="urn:microsoft.com/office/officeart/2005/8/layout/hierarchy3"/>
    <dgm:cxn modelId="{6D882F15-0018-4FA3-86D9-BB78E3C5ADD0}" type="presOf" srcId="{04990EB9-329D-43D8-A70E-507DD06AB8A8}" destId="{98ED7AA8-561E-4223-82F1-A093C042A0FB}" srcOrd="1" destOrd="0" presId="urn:microsoft.com/office/officeart/2005/8/layout/hierarchy3"/>
    <dgm:cxn modelId="{42E85992-6981-4A04-8C21-7045600D2CB2}" type="presOf" srcId="{09741C15-DF31-45B9-93F0-50FD5B04791B}" destId="{C8C759E4-E15C-418E-8229-0A9CF50D4EE4}" srcOrd="0" destOrd="0" presId="urn:microsoft.com/office/officeart/2005/8/layout/hierarchy3"/>
    <dgm:cxn modelId="{3C53952C-137E-47FE-B9FA-07FC3DA6D1C4}" type="presOf" srcId="{04990EB9-329D-43D8-A70E-507DD06AB8A8}" destId="{F5D01B11-31D6-43B5-80BB-BAA1AA71A683}" srcOrd="0" destOrd="0" presId="urn:microsoft.com/office/officeart/2005/8/layout/hierarchy3"/>
    <dgm:cxn modelId="{8F44C618-6B1B-40C5-A452-8188B24AEBAD}" type="presOf" srcId="{B9398445-8595-48CA-902C-74F31557FB5C}" destId="{60A053D3-CC03-4DBD-A2ED-EC34D9EA1330}" srcOrd="0" destOrd="0" presId="urn:microsoft.com/office/officeart/2005/8/layout/hierarchy3"/>
    <dgm:cxn modelId="{E1FAE49D-A4BD-401B-A860-53147322777D}" srcId="{04990EB9-329D-43D8-A70E-507DD06AB8A8}" destId="{C8E1E867-B401-4AD9-B0C0-003351DE7991}" srcOrd="0" destOrd="0" parTransId="{E3027661-7BF3-4614-9E5D-9815CF46C2CA}" sibTransId="{8FD1C53F-2D79-47F0-A2DA-038DC0B370A5}"/>
    <dgm:cxn modelId="{40F1E801-E82A-41B3-AD7D-97D20F012BD3}" type="presOf" srcId="{E3027661-7BF3-4614-9E5D-9815CF46C2CA}" destId="{AA8D0EBB-C98F-4CD7-B36F-773C65EA4CE8}" srcOrd="0" destOrd="0" presId="urn:microsoft.com/office/officeart/2005/8/layout/hierarchy3"/>
    <dgm:cxn modelId="{C6DC3327-CDE2-4878-82CC-E22E7DB36F03}" srcId="{09741C15-DF31-45B9-93F0-50FD5B04791B}" destId="{04990EB9-329D-43D8-A70E-507DD06AB8A8}" srcOrd="0" destOrd="0" parTransId="{6BC3AA2F-DA9D-4E4A-8FB7-95D5EF707FBD}" sibTransId="{D76FBB27-8237-4457-B91D-DF581313FA9D}"/>
    <dgm:cxn modelId="{8104A19F-C262-480B-B254-017354B641DB}" type="presOf" srcId="{C8E1E867-B401-4AD9-B0C0-003351DE7991}" destId="{C26DFE44-0834-477C-BCD7-ED5CC16C5755}" srcOrd="0" destOrd="0" presId="urn:microsoft.com/office/officeart/2005/8/layout/hierarchy3"/>
    <dgm:cxn modelId="{5120CD5D-B781-4B47-8675-0969CBF06209}" type="presParOf" srcId="{C8C759E4-E15C-418E-8229-0A9CF50D4EE4}" destId="{705F653E-A607-4E9E-887D-09753763E03F}" srcOrd="0" destOrd="0" presId="urn:microsoft.com/office/officeart/2005/8/layout/hierarchy3"/>
    <dgm:cxn modelId="{08822306-BFEA-4F0B-8646-AE39B2114A3F}" type="presParOf" srcId="{705F653E-A607-4E9E-887D-09753763E03F}" destId="{49ED6032-A51E-4CBA-B4DB-0F0C2A4FCB56}" srcOrd="0" destOrd="0" presId="urn:microsoft.com/office/officeart/2005/8/layout/hierarchy3"/>
    <dgm:cxn modelId="{202736CB-1A12-4CE3-903B-6CEC5DD8092C}" type="presParOf" srcId="{49ED6032-A51E-4CBA-B4DB-0F0C2A4FCB56}" destId="{F5D01B11-31D6-43B5-80BB-BAA1AA71A683}" srcOrd="0" destOrd="0" presId="urn:microsoft.com/office/officeart/2005/8/layout/hierarchy3"/>
    <dgm:cxn modelId="{9C1ECF5E-56B4-44D3-B788-13C59AA32A38}" type="presParOf" srcId="{49ED6032-A51E-4CBA-B4DB-0F0C2A4FCB56}" destId="{98ED7AA8-561E-4223-82F1-A093C042A0FB}" srcOrd="1" destOrd="0" presId="urn:microsoft.com/office/officeart/2005/8/layout/hierarchy3"/>
    <dgm:cxn modelId="{66ADC513-E7EA-4966-98F8-8065C2A53543}" type="presParOf" srcId="{705F653E-A607-4E9E-887D-09753763E03F}" destId="{525704ED-D363-462F-94E8-9CC3484BACA9}" srcOrd="1" destOrd="0" presId="urn:microsoft.com/office/officeart/2005/8/layout/hierarchy3"/>
    <dgm:cxn modelId="{48389B08-3C50-4AE1-A353-786B7C6A8194}" type="presParOf" srcId="{525704ED-D363-462F-94E8-9CC3484BACA9}" destId="{AA8D0EBB-C98F-4CD7-B36F-773C65EA4CE8}" srcOrd="0" destOrd="0" presId="urn:microsoft.com/office/officeart/2005/8/layout/hierarchy3"/>
    <dgm:cxn modelId="{8CD7040E-6E41-4DC7-B2E5-FEAA869C62FC}" type="presParOf" srcId="{525704ED-D363-462F-94E8-9CC3484BACA9}" destId="{C26DFE44-0834-477C-BCD7-ED5CC16C5755}" srcOrd="1" destOrd="0" presId="urn:microsoft.com/office/officeart/2005/8/layout/hierarchy3"/>
    <dgm:cxn modelId="{041CB345-23D7-44D5-B7CF-B313B07C8BDC}" type="presParOf" srcId="{525704ED-D363-462F-94E8-9CC3484BACA9}" destId="{A44189AA-6B42-456B-8C46-5EBB222108A1}" srcOrd="2" destOrd="0" presId="urn:microsoft.com/office/officeart/2005/8/layout/hierarchy3"/>
    <dgm:cxn modelId="{0497D656-1008-4FF5-A55C-93E45394E1EA}" type="presParOf" srcId="{525704ED-D363-462F-94E8-9CC3484BACA9}" destId="{60A053D3-CC03-4DBD-A2ED-EC34D9EA1330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5D01B11-31D6-43B5-80BB-BAA1AA71A683}">
      <dsp:nvSpPr>
        <dsp:cNvPr id="0" name=""/>
        <dsp:cNvSpPr/>
      </dsp:nvSpPr>
      <dsp:spPr>
        <a:xfrm>
          <a:off x="1652396" y="1755"/>
          <a:ext cx="2044005" cy="102200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4">
                <a:shade val="51000"/>
                <a:satMod val="130000"/>
              </a:schemeClr>
            </a:gs>
            <a:gs pos="80000">
              <a:schemeClr val="accent4">
                <a:shade val="93000"/>
                <a:satMod val="130000"/>
              </a:schemeClr>
            </a:gs>
            <a:gs pos="100000">
              <a:schemeClr val="accent4"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shade val="95000"/>
              <a:satMod val="10500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extrusionH="50600"/>
      </dsp:spPr>
      <dsp:style>
        <a:lnRef idx="1">
          <a:schemeClr val="accent4"/>
        </a:lnRef>
        <a:fillRef idx="3">
          <a:schemeClr val="accent4"/>
        </a:fillRef>
        <a:effectRef idx="2">
          <a:schemeClr val="accent4"/>
        </a:effectRef>
        <a:fontRef idx="minor">
          <a:schemeClr val="lt1"/>
        </a:fontRef>
      </dsp:style>
      <dsp:txBody>
        <a:bodyPr spcFirstLastPara="0" vert="horz" wrap="square" lIns="43815" tIns="29210" rIns="43815" bIns="2921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2300" b="1" kern="1200"/>
            <a:t>DISPOSITIVOS ELECTRÓNICOS</a:t>
          </a:r>
          <a:endParaRPr lang="es-MX" sz="2300" kern="1200"/>
        </a:p>
      </dsp:txBody>
      <dsp:txXfrm>
        <a:off x="1652396" y="1755"/>
        <a:ext cx="2044005" cy="1022002"/>
      </dsp:txXfrm>
    </dsp:sp>
    <dsp:sp modelId="{AA8D0EBB-C98F-4CD7-B36F-773C65EA4CE8}">
      <dsp:nvSpPr>
        <dsp:cNvPr id="0" name=""/>
        <dsp:cNvSpPr/>
      </dsp:nvSpPr>
      <dsp:spPr>
        <a:xfrm>
          <a:off x="1856796" y="1023758"/>
          <a:ext cx="273201" cy="766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6941"/>
              </a:lnTo>
              <a:lnTo>
                <a:pt x="273201" y="76694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6DFE44-0834-477C-BCD7-ED5CC16C5755}">
      <dsp:nvSpPr>
        <dsp:cNvPr id="0" name=""/>
        <dsp:cNvSpPr/>
      </dsp:nvSpPr>
      <dsp:spPr>
        <a:xfrm>
          <a:off x="2129998" y="1279698"/>
          <a:ext cx="1635204" cy="102200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 z="-161800" extrusionH="10600">
          <a:bevelT w="63500" h="25400"/>
        </a:sp3d>
      </dsp:spPr>
      <dsp:style>
        <a:lnRef idx="0">
          <a:schemeClr val="accent5"/>
        </a:lnRef>
        <a:fillRef idx="3">
          <a:schemeClr val="accent5"/>
        </a:fillRef>
        <a:effectRef idx="3">
          <a:schemeClr val="accent5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300" kern="1200"/>
            <a:t>Los sistemas contables se basan cada vez más en documentos electrónicos </a:t>
          </a:r>
          <a:endParaRPr lang="es-MX" sz="1300" kern="1200"/>
        </a:p>
      </dsp:txBody>
      <dsp:txXfrm>
        <a:off x="2129998" y="1279698"/>
        <a:ext cx="1635204" cy="1022002"/>
      </dsp:txXfrm>
    </dsp:sp>
    <dsp:sp modelId="{A44189AA-6B42-456B-8C46-5EBB222108A1}">
      <dsp:nvSpPr>
        <dsp:cNvPr id="0" name=""/>
        <dsp:cNvSpPr/>
      </dsp:nvSpPr>
      <dsp:spPr>
        <a:xfrm>
          <a:off x="1856796" y="1023758"/>
          <a:ext cx="273201" cy="20444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44444"/>
              </a:lnTo>
              <a:lnTo>
                <a:pt x="273201" y="20444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053D3-CC03-4DBD-A2ED-EC34D9EA1330}">
      <dsp:nvSpPr>
        <dsp:cNvPr id="0" name=""/>
        <dsp:cNvSpPr/>
      </dsp:nvSpPr>
      <dsp:spPr>
        <a:xfrm>
          <a:off x="2129998" y="2557202"/>
          <a:ext cx="1635204" cy="1022002"/>
        </a:xfrm>
        <a:prstGeom prst="roundRect">
          <a:avLst>
            <a:gd name="adj" fmla="val 10000"/>
          </a:avLst>
        </a:prstGeom>
        <a:gradFill rotWithShape="1">
          <a:gsLst>
            <a:gs pos="0">
              <a:schemeClr val="accent5">
                <a:shade val="51000"/>
                <a:satMod val="130000"/>
              </a:schemeClr>
            </a:gs>
            <a:gs pos="80000">
              <a:schemeClr val="accent5">
                <a:shade val="93000"/>
                <a:satMod val="130000"/>
              </a:schemeClr>
            </a:gs>
            <a:gs pos="100000">
              <a:schemeClr val="accent5"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 z="-161800" extrusionH="10600">
          <a:bevelT w="63500" h="25400"/>
        </a:sp3d>
      </dsp:spPr>
      <dsp:style>
        <a:lnRef idx="0">
          <a:schemeClr val="accent5"/>
        </a:lnRef>
        <a:fillRef idx="3">
          <a:schemeClr val="accent5"/>
        </a:fillRef>
        <a:effectRef idx="3">
          <a:schemeClr val="accent5"/>
        </a:effectRef>
        <a:fontRef idx="minor">
          <a:schemeClr val="lt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300" kern="1200"/>
            <a:t>Ya que tiene muchos beneficios para la empresa  tales como la eficiencia </a:t>
          </a:r>
          <a:endParaRPr lang="es-MX" sz="1300" kern="1200"/>
        </a:p>
      </dsp:txBody>
      <dsp:txXfrm>
        <a:off x="2129998" y="2557202"/>
        <a:ext cx="1635204" cy="10220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7A75FC-3C20-478F-8B8A-F4570BF1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</dc:creator>
  <cp:lastModifiedBy>luis ruben angel calderon</cp:lastModifiedBy>
  <cp:revision>2</cp:revision>
  <dcterms:created xsi:type="dcterms:W3CDTF">2012-12-15T02:51:00Z</dcterms:created>
  <dcterms:modified xsi:type="dcterms:W3CDTF">2012-12-15T02:51:00Z</dcterms:modified>
</cp:coreProperties>
</file>