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488" w:rsidRDefault="00F853BA" w:rsidP="009A7D17">
      <w:r w:rsidRPr="00F853BA">
        <w:rPr>
          <w:noProof/>
        </w:rPr>
        <w:pict>
          <v:shapetype id="_x0000_t202" coordsize="21600,21600" o:spt="202" path="m,l,21600r21600,l21600,xe">
            <v:stroke joinstyle="miter"/>
            <v:path gradientshapeok="t" o:connecttype="rect"/>
          </v:shapetype>
          <v:shape id="1 Cuadro de texto" o:spid="_x0000_s1026" type="#_x0000_t202" style="position:absolute;margin-left:78.25pt;margin-top:-6.35pt;width:2in;height:25.05pt;z-index:251659264;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" fillcolor="white [3201]" strokecolor="#4f81bd [3204]" strokeweight="2pt">
            <v:textbox>
              <w:txbxContent>
                <w:p w:rsidR="00ED4488" w:rsidRPr="006E11B7" w:rsidRDefault="00ED4488" w:rsidP="006E11B7">
                  <w:pPr>
                    <w:jc w:val="center"/>
                    <w:rPr>
                      <w:b/>
                      <w:caps/>
                      <w:color w:val="FF0000"/>
                      <w:sz w:val="28"/>
                      <w:szCs w:val="72"/>
                    </w:rPr>
                  </w:pPr>
                  <w:r w:rsidRPr="006E11B7">
                    <w:rPr>
                      <w:b/>
                      <w:caps/>
                      <w:color w:val="FF0000"/>
                      <w:sz w:val="28"/>
                      <w:szCs w:val="72"/>
                    </w:rPr>
                    <w:t>Resumen Sobre Instrumentos financieros</w:t>
                  </w:r>
                </w:p>
                <w:p w:rsidR="00ED4488" w:rsidRDefault="00ED4488" w:rsidP="006E11B7">
                  <w:pPr>
                    <w:jc w:val="center"/>
                  </w:pPr>
                </w:p>
              </w:txbxContent>
            </v:textbox>
          </v:shape>
        </w:pict>
      </w:r>
    </w:p>
    <w:p w:rsidR="006E11B7" w:rsidRDefault="006E11B7" w:rsidP="006E11B7">
      <w:pPr>
        <w:pStyle w:val="Prrafodelista"/>
      </w:pPr>
    </w:p>
    <w:p w:rsidR="009A7D17" w:rsidRPr="006E11B7" w:rsidRDefault="008066C6" w:rsidP="006E11B7">
      <w:pPr>
        <w:pStyle w:val="Prrafodelista"/>
        <w:numPr>
          <w:ilvl w:val="0"/>
          <w:numId w:val="2"/>
        </w:numPr>
        <w:jc w:val="both"/>
        <w:rPr>
          <w:rFonts w:ascii="Calibri" w:hAnsi="Calibri"/>
          <w:b/>
          <w:sz w:val="20"/>
          <w:szCs w:val="20"/>
        </w:rPr>
      </w:pPr>
      <w:r>
        <w:rPr>
          <w:rFonts w:ascii="Calibri" w:hAnsi="Calibri"/>
          <w:b/>
          <w:sz w:val="20"/>
          <w:szCs w:val="20"/>
        </w:rPr>
        <w:t>I</w:t>
      </w:r>
      <w:r w:rsidR="009A7D17" w:rsidRPr="006E11B7">
        <w:rPr>
          <w:rFonts w:ascii="Calibri" w:hAnsi="Calibri"/>
          <w:b/>
          <w:sz w:val="20"/>
          <w:szCs w:val="20"/>
        </w:rPr>
        <w:t>nstrumentos financieros.</w:t>
      </w:r>
    </w:p>
    <w:p w:rsidR="0014281F" w:rsidRPr="006E11B7" w:rsidRDefault="009A7D17" w:rsidP="006E11B7">
      <w:pPr>
        <w:ind w:left="360"/>
        <w:jc w:val="both"/>
        <w:rPr>
          <w:rFonts w:ascii="Calibri" w:hAnsi="Calibri"/>
          <w:sz w:val="20"/>
          <w:szCs w:val="20"/>
        </w:rPr>
      </w:pPr>
      <w:r w:rsidRPr="006E11B7">
        <w:rPr>
          <w:rFonts w:ascii="Calibri" w:hAnsi="Calibri"/>
          <w:sz w:val="20"/>
          <w:szCs w:val="20"/>
        </w:rPr>
        <w:t>Según la NIIF para la PYMES, sección 11, párrafo 11.3 Un instrumento financiero es un contrato que da lugar a un activo financiero de una entidad y a un pasivo financiero o a un instrumento de patrimonio de otra.</w:t>
      </w:r>
    </w:p>
    <w:p w:rsidR="0014281F" w:rsidRPr="006E11B7" w:rsidRDefault="0014281F" w:rsidP="006E11B7">
      <w:pPr>
        <w:pStyle w:val="Prrafodelista"/>
        <w:numPr>
          <w:ilvl w:val="0"/>
          <w:numId w:val="2"/>
        </w:numPr>
        <w:jc w:val="both"/>
        <w:rPr>
          <w:rFonts w:ascii="Calibri" w:hAnsi="Calibri"/>
          <w:b/>
          <w:sz w:val="20"/>
          <w:szCs w:val="20"/>
        </w:rPr>
      </w:pPr>
      <w:r w:rsidRPr="006E11B7">
        <w:rPr>
          <w:rFonts w:ascii="Calibri" w:hAnsi="Calibri"/>
          <w:b/>
          <w:sz w:val="20"/>
          <w:szCs w:val="20"/>
        </w:rPr>
        <w:t>Ejemplos de instrumentos financieros dentro del alcance la sección 11:</w:t>
      </w:r>
    </w:p>
    <w:p w:rsidR="0014281F" w:rsidRPr="006E11B7" w:rsidRDefault="0014281F" w:rsidP="006E11B7">
      <w:pPr>
        <w:pStyle w:val="Prrafodelista"/>
        <w:numPr>
          <w:ilvl w:val="0"/>
          <w:numId w:val="4"/>
        </w:numPr>
        <w:jc w:val="both"/>
        <w:rPr>
          <w:rFonts w:ascii="Calibri" w:hAnsi="Calibri"/>
          <w:sz w:val="20"/>
          <w:szCs w:val="20"/>
        </w:rPr>
      </w:pPr>
      <w:r w:rsidRPr="006E11B7">
        <w:rPr>
          <w:rFonts w:ascii="Calibri" w:hAnsi="Calibri"/>
          <w:sz w:val="20"/>
          <w:szCs w:val="20"/>
        </w:rPr>
        <w:t>Efectivo</w:t>
      </w:r>
    </w:p>
    <w:p w:rsidR="0014281F" w:rsidRPr="006E11B7" w:rsidRDefault="0014281F" w:rsidP="006E11B7">
      <w:pPr>
        <w:pStyle w:val="Prrafodelista"/>
        <w:numPr>
          <w:ilvl w:val="0"/>
          <w:numId w:val="4"/>
        </w:numPr>
        <w:jc w:val="both"/>
        <w:rPr>
          <w:rFonts w:ascii="Calibri" w:hAnsi="Calibri"/>
          <w:sz w:val="20"/>
          <w:szCs w:val="20"/>
        </w:rPr>
      </w:pPr>
      <w:r w:rsidRPr="006E11B7">
        <w:rPr>
          <w:rFonts w:ascii="Calibri" w:hAnsi="Calibri"/>
          <w:sz w:val="20"/>
          <w:szCs w:val="20"/>
        </w:rPr>
        <w:t>Depósitos a la vista y depósitos a plazo fijo cuando la entidad es la depositante, por ejemplo, cuentas bancarias</w:t>
      </w:r>
    </w:p>
    <w:p w:rsidR="0014281F" w:rsidRPr="006E11B7" w:rsidRDefault="0014281F" w:rsidP="006E11B7">
      <w:pPr>
        <w:pStyle w:val="Prrafodelista"/>
        <w:numPr>
          <w:ilvl w:val="0"/>
          <w:numId w:val="4"/>
        </w:numPr>
        <w:jc w:val="both"/>
        <w:rPr>
          <w:rFonts w:ascii="Calibri" w:hAnsi="Calibri"/>
          <w:sz w:val="20"/>
          <w:szCs w:val="20"/>
        </w:rPr>
      </w:pPr>
      <w:r w:rsidRPr="006E11B7">
        <w:rPr>
          <w:rFonts w:ascii="Calibri" w:hAnsi="Calibri"/>
          <w:sz w:val="20"/>
          <w:szCs w:val="20"/>
        </w:rPr>
        <w:t>Obligaciones negociables y facturas comerciales mantenidas</w:t>
      </w:r>
    </w:p>
    <w:p w:rsidR="0014281F" w:rsidRPr="006E11B7" w:rsidRDefault="0014281F" w:rsidP="006E11B7">
      <w:pPr>
        <w:pStyle w:val="Prrafodelista"/>
        <w:numPr>
          <w:ilvl w:val="0"/>
          <w:numId w:val="4"/>
        </w:numPr>
        <w:jc w:val="both"/>
        <w:rPr>
          <w:rFonts w:ascii="Calibri" w:hAnsi="Calibri"/>
          <w:sz w:val="20"/>
          <w:szCs w:val="20"/>
        </w:rPr>
      </w:pPr>
      <w:r w:rsidRPr="006E11B7">
        <w:rPr>
          <w:rFonts w:ascii="Calibri" w:hAnsi="Calibri"/>
          <w:sz w:val="20"/>
          <w:szCs w:val="20"/>
        </w:rPr>
        <w:t>Cuentas, pagarés y préstamos por cobrar y por pagar.</w:t>
      </w:r>
    </w:p>
    <w:p w:rsidR="0014281F" w:rsidRPr="006E11B7" w:rsidRDefault="0014281F" w:rsidP="006E11B7">
      <w:pPr>
        <w:pStyle w:val="Prrafodelista"/>
        <w:numPr>
          <w:ilvl w:val="0"/>
          <w:numId w:val="4"/>
        </w:numPr>
        <w:jc w:val="both"/>
        <w:rPr>
          <w:rFonts w:ascii="Calibri" w:hAnsi="Calibri"/>
          <w:sz w:val="20"/>
          <w:szCs w:val="20"/>
        </w:rPr>
      </w:pPr>
      <w:r w:rsidRPr="006E11B7">
        <w:rPr>
          <w:rFonts w:ascii="Calibri" w:hAnsi="Calibri"/>
          <w:sz w:val="20"/>
          <w:szCs w:val="20"/>
        </w:rPr>
        <w:t>Bonos e instrumentos de deuda similares</w:t>
      </w:r>
    </w:p>
    <w:p w:rsidR="0014281F" w:rsidRPr="006E11B7" w:rsidRDefault="0014281F" w:rsidP="006E11B7">
      <w:pPr>
        <w:pStyle w:val="Prrafodelista"/>
        <w:numPr>
          <w:ilvl w:val="0"/>
          <w:numId w:val="4"/>
        </w:numPr>
        <w:jc w:val="both"/>
        <w:rPr>
          <w:rFonts w:ascii="Calibri" w:hAnsi="Calibri"/>
          <w:sz w:val="20"/>
          <w:szCs w:val="20"/>
        </w:rPr>
      </w:pPr>
      <w:r w:rsidRPr="006E11B7">
        <w:rPr>
          <w:rFonts w:ascii="Calibri" w:hAnsi="Calibri"/>
          <w:sz w:val="20"/>
          <w:szCs w:val="20"/>
        </w:rPr>
        <w:t>Inversiones en acciones preferentes no convertibles y en acciones preferentes y ordinarias sin opción de venta.</w:t>
      </w:r>
    </w:p>
    <w:p w:rsidR="0014281F" w:rsidRPr="006E11B7" w:rsidRDefault="0014281F" w:rsidP="006E11B7">
      <w:pPr>
        <w:pStyle w:val="Prrafodelista"/>
        <w:numPr>
          <w:ilvl w:val="0"/>
          <w:numId w:val="4"/>
        </w:numPr>
        <w:jc w:val="both"/>
        <w:rPr>
          <w:rFonts w:ascii="Calibri" w:hAnsi="Calibri"/>
          <w:sz w:val="20"/>
          <w:szCs w:val="20"/>
        </w:rPr>
      </w:pPr>
      <w:r w:rsidRPr="006E11B7">
        <w:rPr>
          <w:rFonts w:ascii="Calibri" w:hAnsi="Calibri"/>
          <w:sz w:val="20"/>
          <w:szCs w:val="20"/>
        </w:rPr>
        <w:t>Compromisos de recibir un préstamo si el compromiso no se puede liquidar por el importe neto en efectivo</w:t>
      </w:r>
    </w:p>
    <w:p w:rsidR="004004BA" w:rsidRPr="006E11B7" w:rsidRDefault="004004BA" w:rsidP="006E11B7">
      <w:pPr>
        <w:pStyle w:val="Prrafodelista"/>
        <w:jc w:val="both"/>
        <w:rPr>
          <w:rFonts w:ascii="Calibri" w:hAnsi="Calibri"/>
          <w:sz w:val="20"/>
          <w:szCs w:val="20"/>
        </w:rPr>
      </w:pPr>
    </w:p>
    <w:p w:rsidR="004004BA" w:rsidRPr="006E11B7" w:rsidRDefault="008066C6" w:rsidP="006E11B7">
      <w:pPr>
        <w:pStyle w:val="Prrafodelista"/>
        <w:numPr>
          <w:ilvl w:val="0"/>
          <w:numId w:val="2"/>
        </w:numPr>
        <w:jc w:val="both"/>
        <w:rPr>
          <w:rFonts w:ascii="Calibri" w:hAnsi="Calibri"/>
          <w:b/>
          <w:sz w:val="20"/>
          <w:szCs w:val="20"/>
        </w:rPr>
      </w:pPr>
      <w:r>
        <w:rPr>
          <w:rFonts w:ascii="Calibri" w:hAnsi="Calibri"/>
          <w:b/>
          <w:sz w:val="20"/>
          <w:szCs w:val="20"/>
        </w:rPr>
        <w:t>V</w:t>
      </w:r>
      <w:r w:rsidR="004004BA" w:rsidRPr="006E11B7">
        <w:rPr>
          <w:rFonts w:ascii="Calibri" w:hAnsi="Calibri"/>
          <w:b/>
          <w:sz w:val="20"/>
          <w:szCs w:val="20"/>
        </w:rPr>
        <w:t xml:space="preserve">alor razonable </w:t>
      </w:r>
    </w:p>
    <w:p w:rsidR="004004BA" w:rsidRPr="006E11B7" w:rsidRDefault="004004BA" w:rsidP="006E11B7">
      <w:pPr>
        <w:ind w:left="360"/>
        <w:jc w:val="both"/>
        <w:rPr>
          <w:rFonts w:ascii="Calibri" w:hAnsi="Calibri"/>
          <w:sz w:val="20"/>
          <w:szCs w:val="20"/>
        </w:rPr>
      </w:pPr>
      <w:r w:rsidRPr="006E11B7">
        <w:rPr>
          <w:rFonts w:ascii="Calibri" w:hAnsi="Calibri"/>
          <w:sz w:val="20"/>
          <w:szCs w:val="20"/>
        </w:rPr>
        <w:t>El importe por el cual puede intercambiarse un activo, cancelarse un pasivo o intercambiarse un instrumento de patrimonio concedido, entre partes interesadas y debidamente informadas que realizan una transacción en condiciones de independencia mutua</w:t>
      </w:r>
    </w:p>
    <w:p w:rsidR="004004BA" w:rsidRPr="006E11B7" w:rsidRDefault="008066C6" w:rsidP="006E11B7">
      <w:pPr>
        <w:pStyle w:val="Prrafodelista"/>
        <w:numPr>
          <w:ilvl w:val="0"/>
          <w:numId w:val="2"/>
        </w:numPr>
        <w:jc w:val="both"/>
        <w:rPr>
          <w:rFonts w:ascii="Calibri" w:hAnsi="Calibri"/>
          <w:b/>
          <w:sz w:val="20"/>
          <w:szCs w:val="20"/>
        </w:rPr>
      </w:pPr>
      <w:r>
        <w:rPr>
          <w:rFonts w:ascii="Calibri" w:hAnsi="Calibri"/>
          <w:b/>
          <w:sz w:val="20"/>
          <w:szCs w:val="20"/>
        </w:rPr>
        <w:t>C</w:t>
      </w:r>
      <w:r w:rsidR="004004BA" w:rsidRPr="006E11B7">
        <w:rPr>
          <w:rFonts w:ascii="Calibri" w:hAnsi="Calibri"/>
          <w:b/>
          <w:sz w:val="20"/>
          <w:szCs w:val="20"/>
        </w:rPr>
        <w:t>osto Amortizado</w:t>
      </w:r>
    </w:p>
    <w:p w:rsidR="004004BA" w:rsidRPr="006E11B7" w:rsidRDefault="004004BA" w:rsidP="006E11B7">
      <w:pPr>
        <w:ind w:left="360"/>
        <w:jc w:val="both"/>
        <w:rPr>
          <w:rFonts w:ascii="Calibri" w:hAnsi="Calibri"/>
          <w:sz w:val="20"/>
          <w:szCs w:val="20"/>
        </w:rPr>
      </w:pPr>
      <w:r w:rsidRPr="006E11B7">
        <w:rPr>
          <w:rFonts w:ascii="Calibri" w:hAnsi="Calibri"/>
          <w:sz w:val="20"/>
          <w:szCs w:val="20"/>
        </w:rPr>
        <w:t>Importe al que fue medido en su reconocimiento inicial un activo financiero o un pasivo financiero, menos reembolsos del principal, más o menos, la amortización acumulada, utilizando el método de la tasa de interés efectiva, de cualquier diferencia existente entre el importe inicial y el importe al vencimiento y, menos cualquier reducción por la pérdida de valor por deterioro o dudosa recuperación (reconocida directamente o mediante cuenta correctora)</w:t>
      </w:r>
    </w:p>
    <w:p w:rsidR="004004BA" w:rsidRPr="006E11B7" w:rsidRDefault="004004BA" w:rsidP="006E11B7">
      <w:pPr>
        <w:pStyle w:val="Prrafodelista"/>
        <w:numPr>
          <w:ilvl w:val="0"/>
          <w:numId w:val="2"/>
        </w:numPr>
        <w:jc w:val="both"/>
        <w:rPr>
          <w:rFonts w:ascii="Calibri" w:hAnsi="Calibri"/>
          <w:b/>
          <w:sz w:val="20"/>
          <w:szCs w:val="20"/>
        </w:rPr>
      </w:pPr>
      <w:r w:rsidRPr="006E11B7">
        <w:rPr>
          <w:rFonts w:ascii="Calibri" w:hAnsi="Calibri"/>
          <w:b/>
          <w:sz w:val="20"/>
          <w:szCs w:val="20"/>
        </w:rPr>
        <w:t>Tasa de interés efectiva</w:t>
      </w:r>
    </w:p>
    <w:p w:rsidR="00D9241F" w:rsidRPr="006E11B7" w:rsidRDefault="00D9241F" w:rsidP="006E11B7">
      <w:pPr>
        <w:ind w:left="360"/>
        <w:jc w:val="both"/>
        <w:rPr>
          <w:rFonts w:ascii="Calibri" w:hAnsi="Calibri"/>
          <w:sz w:val="20"/>
          <w:szCs w:val="20"/>
        </w:rPr>
      </w:pPr>
      <w:r w:rsidRPr="006E11B7">
        <w:rPr>
          <w:rFonts w:ascii="Calibri" w:hAnsi="Calibri"/>
          <w:sz w:val="20"/>
          <w:szCs w:val="20"/>
        </w:rPr>
        <w:t>Tasa que iguala exactamente los flujos de efectivo a cobrar o pagar estimados a lo largo de la vida esperada del instrumento financiero o-cuando fuere adecuado-de un periodo más corto, con el importe neto en libros del activo financiero o del pasivo financiero</w:t>
      </w:r>
    </w:p>
    <w:p w:rsidR="00D9241F" w:rsidRPr="006E11B7" w:rsidRDefault="00362CC3" w:rsidP="006E11B7">
      <w:pPr>
        <w:pStyle w:val="Prrafodelista"/>
        <w:numPr>
          <w:ilvl w:val="0"/>
          <w:numId w:val="2"/>
        </w:numPr>
        <w:jc w:val="both"/>
        <w:rPr>
          <w:rFonts w:ascii="Calibri" w:hAnsi="Calibri"/>
          <w:b/>
          <w:sz w:val="20"/>
          <w:szCs w:val="20"/>
        </w:rPr>
      </w:pPr>
      <w:r w:rsidRPr="006E11B7">
        <w:rPr>
          <w:rFonts w:ascii="Calibri" w:hAnsi="Calibri"/>
          <w:b/>
          <w:sz w:val="20"/>
          <w:szCs w:val="20"/>
        </w:rPr>
        <w:t>Renta Fija</w:t>
      </w:r>
    </w:p>
    <w:p w:rsidR="00362CC3" w:rsidRDefault="00362CC3" w:rsidP="006E11B7">
      <w:pPr>
        <w:ind w:left="360"/>
        <w:jc w:val="both"/>
        <w:rPr>
          <w:rFonts w:ascii="Calibri" w:hAnsi="Calibri"/>
          <w:sz w:val="20"/>
          <w:szCs w:val="20"/>
        </w:rPr>
      </w:pPr>
      <w:r w:rsidRPr="006E11B7">
        <w:rPr>
          <w:rFonts w:ascii="Calibri" w:hAnsi="Calibri"/>
          <w:sz w:val="20"/>
          <w:szCs w:val="20"/>
        </w:rPr>
        <w:t>La renta fija se da en las inversiones en donde se conoce de antemano (o al menos en un nivel de predicción aceptable) cuáles serán los flujos de renta que generarán. Ejemplo de inversiones de renta fija son los activos financieros o títulos valores tales como los bonos, las obligaciones, las letras, y los pagarés; los bienes raíces en alquiler, y los sistemas de ahorros tales como los depósitos a plazo y las cuentas de ahorro.</w:t>
      </w:r>
    </w:p>
    <w:p w:rsidR="005252B1" w:rsidRPr="006E11B7" w:rsidRDefault="005252B1" w:rsidP="006E11B7">
      <w:pPr>
        <w:ind w:left="360"/>
        <w:jc w:val="both"/>
        <w:rPr>
          <w:rFonts w:ascii="Calibri" w:hAnsi="Calibri"/>
          <w:sz w:val="20"/>
          <w:szCs w:val="20"/>
        </w:rPr>
      </w:pPr>
    </w:p>
    <w:p w:rsidR="00362CC3" w:rsidRPr="006E11B7" w:rsidRDefault="00362CC3" w:rsidP="006E11B7">
      <w:pPr>
        <w:pStyle w:val="Prrafodelista"/>
        <w:numPr>
          <w:ilvl w:val="0"/>
          <w:numId w:val="2"/>
        </w:numPr>
        <w:jc w:val="both"/>
        <w:rPr>
          <w:rFonts w:ascii="Calibri" w:hAnsi="Calibri"/>
          <w:b/>
          <w:sz w:val="20"/>
          <w:szCs w:val="20"/>
        </w:rPr>
      </w:pPr>
      <w:r w:rsidRPr="006E11B7">
        <w:rPr>
          <w:rFonts w:ascii="Calibri" w:hAnsi="Calibri"/>
          <w:b/>
          <w:sz w:val="20"/>
          <w:szCs w:val="20"/>
        </w:rPr>
        <w:lastRenderedPageBreak/>
        <w:t>Renta Variable</w:t>
      </w:r>
    </w:p>
    <w:p w:rsidR="00362CC3" w:rsidRPr="006E11B7" w:rsidRDefault="00362CC3" w:rsidP="006E11B7">
      <w:pPr>
        <w:ind w:left="360"/>
        <w:jc w:val="both"/>
        <w:rPr>
          <w:rFonts w:ascii="Calibri" w:hAnsi="Calibri"/>
          <w:sz w:val="20"/>
          <w:szCs w:val="20"/>
        </w:rPr>
      </w:pPr>
      <w:r w:rsidRPr="006E11B7">
        <w:rPr>
          <w:rFonts w:ascii="Calibri" w:hAnsi="Calibri"/>
          <w:sz w:val="20"/>
          <w:szCs w:val="20"/>
        </w:rPr>
        <w:t>Por otro lado, la renta variable se da en las inversiones en donde no se conoce de antemano cuáles serán los flujos de renta que generarán (los cuáles incluso pueden llegar a ser negativos), pues éstos dependen de diversos factores tales como el despeño de una empresa, el comportamiento del mercado, la evolución de la economía, etc.</w:t>
      </w:r>
    </w:p>
    <w:p w:rsidR="00362CC3" w:rsidRPr="006E11B7" w:rsidRDefault="00362CC3" w:rsidP="006E11B7">
      <w:pPr>
        <w:ind w:left="360"/>
        <w:jc w:val="both"/>
        <w:rPr>
          <w:rFonts w:ascii="Calibri" w:hAnsi="Calibri"/>
          <w:sz w:val="20"/>
          <w:szCs w:val="20"/>
        </w:rPr>
      </w:pPr>
      <w:r w:rsidRPr="006E11B7">
        <w:rPr>
          <w:rFonts w:ascii="Calibri" w:hAnsi="Calibri"/>
          <w:sz w:val="20"/>
          <w:szCs w:val="20"/>
        </w:rPr>
        <w:t>Ejemplo de inversiones de renta variable son las acciones, las participaciones en fondos de os bonos y obligaciones convertibles</w:t>
      </w:r>
    </w:p>
    <w:p w:rsidR="00362CC3" w:rsidRPr="006E11B7" w:rsidRDefault="00362CC3" w:rsidP="006E11B7">
      <w:pPr>
        <w:pStyle w:val="Prrafodelista"/>
        <w:numPr>
          <w:ilvl w:val="0"/>
          <w:numId w:val="2"/>
        </w:numPr>
        <w:jc w:val="both"/>
        <w:rPr>
          <w:rFonts w:ascii="Calibri" w:hAnsi="Calibri"/>
          <w:b/>
          <w:sz w:val="20"/>
          <w:szCs w:val="20"/>
        </w:rPr>
      </w:pPr>
      <w:r w:rsidRPr="006E11B7">
        <w:rPr>
          <w:rFonts w:ascii="Calibri" w:hAnsi="Calibri"/>
          <w:b/>
          <w:sz w:val="20"/>
          <w:szCs w:val="20"/>
        </w:rPr>
        <w:t>Medición Inicial</w:t>
      </w:r>
    </w:p>
    <w:p w:rsidR="00362CC3" w:rsidRPr="006E11B7" w:rsidRDefault="00362CC3" w:rsidP="006E11B7">
      <w:pPr>
        <w:ind w:left="360"/>
        <w:jc w:val="both"/>
        <w:rPr>
          <w:rFonts w:ascii="Calibri" w:hAnsi="Calibri"/>
          <w:sz w:val="20"/>
          <w:szCs w:val="20"/>
        </w:rPr>
      </w:pPr>
      <w:r w:rsidRPr="006E11B7">
        <w:rPr>
          <w:rFonts w:ascii="Calibri" w:hAnsi="Calibri"/>
          <w:sz w:val="20"/>
          <w:szCs w:val="20"/>
        </w:rPr>
        <w:t>Al reconocer inicialmente un activo financiero o un pasivo financiero, una entidad lo medirá al precio de la transacción (incluyendo los costos de transacción excepto en la medición inicial de los activos y pasivos financieros que se miden al valor razonable con cambios en resultados) excepto si el acuerdo constituye, en efecto, una transacción de financiación. Una transacción de financiación puede tener lugar en relación a la venta de bienes o servicios, por ejemplo, si el pago se aplaza más allá de los términos comerciales normales o se financia a una tasa de interés que no es una tasa de mercado. Si el acuerdo constituye una transacción de financiación, la entidad medirá el activo financiero o pasivo financiero al valor presente de los pagos futuros descontados a una tasa de interés de mercado para un instrumento de deuda similar.</w:t>
      </w:r>
    </w:p>
    <w:p w:rsidR="00362CC3" w:rsidRPr="006E11B7" w:rsidRDefault="00362CC3" w:rsidP="006E11B7">
      <w:pPr>
        <w:pStyle w:val="Prrafodelista"/>
        <w:numPr>
          <w:ilvl w:val="0"/>
          <w:numId w:val="2"/>
        </w:numPr>
        <w:jc w:val="both"/>
        <w:rPr>
          <w:rFonts w:ascii="Calibri" w:hAnsi="Calibri"/>
          <w:b/>
          <w:sz w:val="20"/>
          <w:szCs w:val="20"/>
        </w:rPr>
      </w:pPr>
      <w:r w:rsidRPr="006E11B7">
        <w:rPr>
          <w:rFonts w:ascii="Calibri" w:hAnsi="Calibri"/>
          <w:b/>
          <w:sz w:val="20"/>
          <w:szCs w:val="20"/>
        </w:rPr>
        <w:t>Medición Posterior</w:t>
      </w:r>
    </w:p>
    <w:p w:rsidR="00362CC3" w:rsidRPr="006E11B7" w:rsidRDefault="00362CC3" w:rsidP="006E11B7">
      <w:pPr>
        <w:ind w:left="360"/>
        <w:jc w:val="both"/>
        <w:rPr>
          <w:rFonts w:ascii="Calibri" w:hAnsi="Calibri"/>
          <w:sz w:val="20"/>
          <w:szCs w:val="20"/>
        </w:rPr>
      </w:pPr>
      <w:r w:rsidRPr="006E11B7">
        <w:rPr>
          <w:rFonts w:ascii="Calibri" w:hAnsi="Calibri"/>
          <w:sz w:val="20"/>
          <w:szCs w:val="20"/>
        </w:rPr>
        <w:t>Al final de cada periodo sobre el que se informa, una entidad medirá los instrumentos financieros de la siguiente forma, sin deducir los costos de transacción en que pudiera incurrir en la venta u otro tipo de disposición:</w:t>
      </w:r>
      <w:bookmarkStart w:id="0" w:name="_GoBack"/>
      <w:bookmarkEnd w:id="0"/>
    </w:p>
    <w:p w:rsidR="00362CC3" w:rsidRPr="006E11B7" w:rsidRDefault="00362CC3" w:rsidP="006E11B7">
      <w:pPr>
        <w:ind w:left="360"/>
        <w:jc w:val="both"/>
        <w:rPr>
          <w:rFonts w:ascii="Calibri" w:hAnsi="Calibri"/>
          <w:sz w:val="20"/>
          <w:szCs w:val="20"/>
        </w:rPr>
      </w:pPr>
      <w:r w:rsidRPr="006E11B7">
        <w:rPr>
          <w:rFonts w:ascii="Calibri" w:hAnsi="Calibri"/>
          <w:sz w:val="20"/>
          <w:szCs w:val="20"/>
        </w:rPr>
        <w:t>(a) Los instrumentos de deuda que cumplan l</w:t>
      </w:r>
      <w:r w:rsidR="00DD5AFC" w:rsidRPr="006E11B7">
        <w:rPr>
          <w:rFonts w:ascii="Calibri" w:hAnsi="Calibri"/>
          <w:sz w:val="20"/>
          <w:szCs w:val="20"/>
        </w:rPr>
        <w:t xml:space="preserve">as condiciones del párrafo 11.8 </w:t>
      </w:r>
      <w:r w:rsidRPr="006E11B7">
        <w:rPr>
          <w:rFonts w:ascii="Calibri" w:hAnsi="Calibri"/>
          <w:sz w:val="20"/>
          <w:szCs w:val="20"/>
        </w:rPr>
        <w:t>(b) se medirán al costo amortizado u</w:t>
      </w:r>
      <w:r w:rsidR="00DD5AFC" w:rsidRPr="006E11B7">
        <w:rPr>
          <w:rFonts w:ascii="Calibri" w:hAnsi="Calibri"/>
          <w:sz w:val="20"/>
          <w:szCs w:val="20"/>
        </w:rPr>
        <w:t xml:space="preserve">tilizando el método del interés </w:t>
      </w:r>
      <w:r w:rsidR="00ED4488" w:rsidRPr="006E11B7">
        <w:rPr>
          <w:rFonts w:ascii="Calibri" w:hAnsi="Calibri"/>
          <w:sz w:val="20"/>
          <w:szCs w:val="20"/>
        </w:rPr>
        <w:t>efectivo</w:t>
      </w:r>
      <w:r w:rsidR="00DD5AFC" w:rsidRPr="006E11B7">
        <w:rPr>
          <w:rFonts w:ascii="Calibri" w:hAnsi="Calibri"/>
          <w:sz w:val="20"/>
          <w:szCs w:val="20"/>
        </w:rPr>
        <w:t xml:space="preserve">. </w:t>
      </w:r>
      <w:r w:rsidRPr="006E11B7">
        <w:rPr>
          <w:rFonts w:ascii="Calibri" w:hAnsi="Calibri"/>
          <w:sz w:val="20"/>
          <w:szCs w:val="20"/>
        </w:rPr>
        <w:t>Los instrumentos de deuda que se clasifican como activos corrientes</w:t>
      </w:r>
      <w:r w:rsidR="00DD5AFC" w:rsidRPr="006E11B7">
        <w:rPr>
          <w:rFonts w:ascii="Calibri" w:hAnsi="Calibri"/>
          <w:sz w:val="20"/>
          <w:szCs w:val="20"/>
        </w:rPr>
        <w:t xml:space="preserve"> o </w:t>
      </w:r>
      <w:r w:rsidRPr="006E11B7">
        <w:rPr>
          <w:rFonts w:ascii="Calibri" w:hAnsi="Calibri"/>
          <w:sz w:val="20"/>
          <w:szCs w:val="20"/>
        </w:rPr>
        <w:t>pasivos corrientes se medirán al importe no</w:t>
      </w:r>
      <w:r w:rsidR="00DD5AFC" w:rsidRPr="006E11B7">
        <w:rPr>
          <w:rFonts w:ascii="Calibri" w:hAnsi="Calibri"/>
          <w:sz w:val="20"/>
          <w:szCs w:val="20"/>
        </w:rPr>
        <w:t xml:space="preserve"> descontado del efectivo u otra </w:t>
      </w:r>
      <w:r w:rsidRPr="006E11B7">
        <w:rPr>
          <w:rFonts w:ascii="Calibri" w:hAnsi="Calibri"/>
          <w:sz w:val="20"/>
          <w:szCs w:val="20"/>
        </w:rPr>
        <w:t>contraprestación que se espera pagar o re</w:t>
      </w:r>
      <w:r w:rsidR="00ED4488" w:rsidRPr="006E11B7">
        <w:rPr>
          <w:rFonts w:ascii="Calibri" w:hAnsi="Calibri"/>
          <w:sz w:val="20"/>
          <w:szCs w:val="20"/>
        </w:rPr>
        <w:t>cibir</w:t>
      </w:r>
      <w:r w:rsidR="00DD5AFC" w:rsidRPr="006E11B7">
        <w:rPr>
          <w:rFonts w:ascii="Calibri" w:hAnsi="Calibri"/>
          <w:sz w:val="20"/>
          <w:szCs w:val="20"/>
        </w:rPr>
        <w:t xml:space="preserve"> a menos que el </w:t>
      </w:r>
      <w:r w:rsidRPr="006E11B7">
        <w:rPr>
          <w:rFonts w:ascii="Calibri" w:hAnsi="Calibri"/>
          <w:sz w:val="20"/>
          <w:szCs w:val="20"/>
        </w:rPr>
        <w:t>acuerdo constituya, en efecto, una transa</w:t>
      </w:r>
      <w:r w:rsidR="00ED4488" w:rsidRPr="006E11B7">
        <w:rPr>
          <w:rFonts w:ascii="Calibri" w:hAnsi="Calibri"/>
          <w:sz w:val="20"/>
          <w:szCs w:val="20"/>
        </w:rPr>
        <w:t xml:space="preserve">cción de financiación </w:t>
      </w:r>
      <w:r w:rsidRPr="006E11B7">
        <w:rPr>
          <w:rFonts w:ascii="Calibri" w:hAnsi="Calibri"/>
          <w:sz w:val="20"/>
          <w:szCs w:val="20"/>
        </w:rPr>
        <w:t xml:space="preserve">. Si el acuerdo constituye una </w:t>
      </w:r>
      <w:r w:rsidR="00DD5AFC" w:rsidRPr="006E11B7">
        <w:rPr>
          <w:rFonts w:ascii="Calibri" w:hAnsi="Calibri"/>
          <w:sz w:val="20"/>
          <w:szCs w:val="20"/>
        </w:rPr>
        <w:t xml:space="preserve">transacción de financiación, la </w:t>
      </w:r>
      <w:r w:rsidRPr="006E11B7">
        <w:rPr>
          <w:rFonts w:ascii="Calibri" w:hAnsi="Calibri"/>
          <w:sz w:val="20"/>
          <w:szCs w:val="20"/>
        </w:rPr>
        <w:t>entidad medirá el instrumento de deuda</w:t>
      </w:r>
      <w:r w:rsidR="00DD5AFC" w:rsidRPr="006E11B7">
        <w:rPr>
          <w:rFonts w:ascii="Calibri" w:hAnsi="Calibri"/>
          <w:sz w:val="20"/>
          <w:szCs w:val="20"/>
        </w:rPr>
        <w:t xml:space="preserve"> al valor presente de los pagos </w:t>
      </w:r>
      <w:r w:rsidRPr="006E11B7">
        <w:rPr>
          <w:rFonts w:ascii="Calibri" w:hAnsi="Calibri"/>
          <w:sz w:val="20"/>
          <w:szCs w:val="20"/>
        </w:rPr>
        <w:t>futuros descontados a una tasa de interés de mercado para un instrumento</w:t>
      </w:r>
      <w:r w:rsidR="00DD5AFC" w:rsidRPr="006E11B7">
        <w:rPr>
          <w:rFonts w:ascii="Calibri" w:hAnsi="Calibri"/>
          <w:sz w:val="20"/>
          <w:szCs w:val="20"/>
        </w:rPr>
        <w:t xml:space="preserve"> </w:t>
      </w:r>
      <w:r w:rsidRPr="006E11B7">
        <w:rPr>
          <w:rFonts w:ascii="Calibri" w:hAnsi="Calibri"/>
          <w:sz w:val="20"/>
          <w:szCs w:val="20"/>
        </w:rPr>
        <w:t>de deuda similar.</w:t>
      </w:r>
    </w:p>
    <w:p w:rsidR="00362CC3" w:rsidRPr="006E11B7" w:rsidRDefault="00362CC3" w:rsidP="006E11B7">
      <w:pPr>
        <w:ind w:left="360"/>
        <w:jc w:val="both"/>
        <w:rPr>
          <w:rFonts w:ascii="Calibri" w:hAnsi="Calibri"/>
          <w:sz w:val="20"/>
          <w:szCs w:val="20"/>
        </w:rPr>
      </w:pPr>
      <w:r w:rsidRPr="006E11B7">
        <w:rPr>
          <w:rFonts w:ascii="Calibri" w:hAnsi="Calibri"/>
          <w:sz w:val="20"/>
          <w:szCs w:val="20"/>
        </w:rPr>
        <w:t>(b) Los compromisos para recibir un prést</w:t>
      </w:r>
      <w:r w:rsidR="00DD5AFC" w:rsidRPr="006E11B7">
        <w:rPr>
          <w:rFonts w:ascii="Calibri" w:hAnsi="Calibri"/>
          <w:sz w:val="20"/>
          <w:szCs w:val="20"/>
        </w:rPr>
        <w:t xml:space="preserve">amo que cumplan las condiciones </w:t>
      </w:r>
      <w:r w:rsidRPr="006E11B7">
        <w:rPr>
          <w:rFonts w:ascii="Calibri" w:hAnsi="Calibri"/>
          <w:sz w:val="20"/>
          <w:szCs w:val="20"/>
        </w:rPr>
        <w:t>del 11.8(c) se medirán al costo (que</w:t>
      </w:r>
      <w:r w:rsidR="00DD5AFC" w:rsidRPr="006E11B7">
        <w:rPr>
          <w:rFonts w:ascii="Calibri" w:hAnsi="Calibri"/>
          <w:sz w:val="20"/>
          <w:szCs w:val="20"/>
        </w:rPr>
        <w:t xml:space="preserve"> en ocasiones es cero) menos el </w:t>
      </w:r>
      <w:r w:rsidRPr="006E11B7">
        <w:rPr>
          <w:rFonts w:ascii="Calibri" w:hAnsi="Calibri"/>
          <w:sz w:val="20"/>
          <w:szCs w:val="20"/>
        </w:rPr>
        <w:t>deterioro del valor.</w:t>
      </w:r>
    </w:p>
    <w:p w:rsidR="00DD5AFC" w:rsidRPr="006E11B7" w:rsidRDefault="00DD5AFC" w:rsidP="006E11B7">
      <w:pPr>
        <w:ind w:left="360"/>
        <w:jc w:val="both"/>
        <w:rPr>
          <w:rFonts w:ascii="Calibri" w:hAnsi="Calibri"/>
          <w:sz w:val="20"/>
          <w:szCs w:val="20"/>
        </w:rPr>
      </w:pPr>
      <w:r w:rsidRPr="006E11B7">
        <w:rPr>
          <w:rFonts w:ascii="Calibri" w:hAnsi="Calibri"/>
          <w:sz w:val="20"/>
          <w:szCs w:val="20"/>
        </w:rPr>
        <w:t xml:space="preserve">(c) Las inversiones en acciones preferentes no convertibles y acciones ordinarias o preferentes sin opción de venta que cumplan las condiciones del párrafo </w:t>
      </w:r>
      <w:r w:rsidR="00ED4488" w:rsidRPr="006E11B7">
        <w:rPr>
          <w:rFonts w:ascii="Calibri" w:hAnsi="Calibri"/>
          <w:sz w:val="20"/>
          <w:szCs w:val="20"/>
        </w:rPr>
        <w:t>11.8 (</w:t>
      </w:r>
      <w:r w:rsidRPr="006E11B7">
        <w:rPr>
          <w:rFonts w:ascii="Calibri" w:hAnsi="Calibri"/>
          <w:sz w:val="20"/>
          <w:szCs w:val="20"/>
        </w:rPr>
        <w:t>d) se medirán de la siguie</w:t>
      </w:r>
      <w:r w:rsidR="00ED4488" w:rsidRPr="006E11B7">
        <w:rPr>
          <w:rFonts w:ascii="Calibri" w:hAnsi="Calibri"/>
          <w:sz w:val="20"/>
          <w:szCs w:val="20"/>
        </w:rPr>
        <w:t>nte forma</w:t>
      </w:r>
      <w:r w:rsidRPr="006E11B7">
        <w:rPr>
          <w:rFonts w:ascii="Calibri" w:hAnsi="Calibri"/>
          <w:sz w:val="20"/>
          <w:szCs w:val="20"/>
        </w:rPr>
        <w:t>:</w:t>
      </w:r>
    </w:p>
    <w:p w:rsidR="00DD5AFC" w:rsidRPr="006E11B7" w:rsidRDefault="00DD5AFC" w:rsidP="006E11B7">
      <w:pPr>
        <w:ind w:left="708"/>
        <w:jc w:val="both"/>
        <w:rPr>
          <w:rFonts w:ascii="Calibri" w:hAnsi="Calibri"/>
          <w:sz w:val="20"/>
          <w:szCs w:val="20"/>
        </w:rPr>
      </w:pPr>
      <w:r w:rsidRPr="006E11B7">
        <w:rPr>
          <w:rFonts w:ascii="Calibri" w:hAnsi="Calibri"/>
          <w:sz w:val="20"/>
          <w:szCs w:val="20"/>
        </w:rPr>
        <w:t>(i) Si las acciones cotizan en bolsa o su valor razonable se puede medir de otra forma con fiabilidad, la inversión se medirá al valor razonable cambios en el valor razonable reconocidos en el resultado.</w:t>
      </w:r>
    </w:p>
    <w:p w:rsidR="00DD5AFC" w:rsidRPr="006E11B7" w:rsidRDefault="00DD5AFC" w:rsidP="006E11B7">
      <w:pPr>
        <w:ind w:firstLine="708"/>
        <w:jc w:val="both"/>
        <w:rPr>
          <w:rFonts w:ascii="Calibri" w:hAnsi="Calibri"/>
          <w:sz w:val="20"/>
          <w:szCs w:val="20"/>
        </w:rPr>
      </w:pPr>
      <w:r w:rsidRPr="006E11B7">
        <w:rPr>
          <w:rFonts w:ascii="Calibri" w:hAnsi="Calibri"/>
          <w:sz w:val="20"/>
          <w:szCs w:val="20"/>
        </w:rPr>
        <w:t>(ii) Todas las demás inversiones se medirán al costo menos el deterioro del valor.</w:t>
      </w:r>
    </w:p>
    <w:p w:rsidR="009A7D17" w:rsidRDefault="00DD5AFC" w:rsidP="006E11B7">
      <w:pPr>
        <w:ind w:left="708"/>
        <w:jc w:val="both"/>
      </w:pPr>
      <w:r w:rsidRPr="006E11B7">
        <w:rPr>
          <w:rFonts w:ascii="Calibri" w:hAnsi="Calibri"/>
          <w:sz w:val="20"/>
          <w:szCs w:val="20"/>
        </w:rPr>
        <w:t>Para los instrumentos financieros de (a), (b) y (c</w:t>
      </w:r>
      <w:proofErr w:type="gramStart"/>
      <w:r w:rsidRPr="006E11B7">
        <w:rPr>
          <w:rFonts w:ascii="Calibri" w:hAnsi="Calibri"/>
          <w:sz w:val="20"/>
          <w:szCs w:val="20"/>
        </w:rPr>
        <w:t>)(</w:t>
      </w:r>
      <w:proofErr w:type="gramEnd"/>
      <w:r w:rsidRPr="006E11B7">
        <w:rPr>
          <w:rFonts w:ascii="Calibri" w:hAnsi="Calibri"/>
          <w:sz w:val="20"/>
          <w:szCs w:val="20"/>
        </w:rPr>
        <w:t>ii) anteriores, debe evaluarse el deterioro del valor o la incobrabilidad.</w:t>
      </w:r>
    </w:p>
    <w:sectPr w:rsidR="009A7D17" w:rsidSect="005252B1">
      <w:pgSz w:w="12240" w:h="15840" w:code="1"/>
      <w:pgMar w:top="1135"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D71E7"/>
    <w:multiLevelType w:val="hybridMultilevel"/>
    <w:tmpl w:val="77BE4E0E"/>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274B2966"/>
    <w:multiLevelType w:val="hybridMultilevel"/>
    <w:tmpl w:val="090ED8BC"/>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29612593"/>
    <w:multiLevelType w:val="hybridMultilevel"/>
    <w:tmpl w:val="CCCC3CC0"/>
    <w:lvl w:ilvl="0" w:tplc="440A0017">
      <w:start w:val="1"/>
      <w:numFmt w:val="lowerLetter"/>
      <w:lvlText w:val="%1)"/>
      <w:lvlJc w:val="left"/>
      <w:pPr>
        <w:ind w:left="720" w:hanging="360"/>
      </w:pPr>
      <w:rPr>
        <w:rFonts w:hint="default"/>
      </w:rPr>
    </w:lvl>
    <w:lvl w:ilvl="1" w:tplc="440A0013">
      <w:start w:val="1"/>
      <w:numFmt w:val="upperRoman"/>
      <w:lvlText w:val="%2."/>
      <w:lvlJc w:val="righ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nsid w:val="48146B2D"/>
    <w:multiLevelType w:val="hybridMultilevel"/>
    <w:tmpl w:val="C3BA367C"/>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compat/>
  <w:rsids>
    <w:rsidRoot w:val="00C80B2C"/>
    <w:rsid w:val="000B5290"/>
    <w:rsid w:val="0014281F"/>
    <w:rsid w:val="00252C8C"/>
    <w:rsid w:val="00362CC3"/>
    <w:rsid w:val="003D2B20"/>
    <w:rsid w:val="004004BA"/>
    <w:rsid w:val="005252B1"/>
    <w:rsid w:val="006E11B7"/>
    <w:rsid w:val="008066C6"/>
    <w:rsid w:val="009A7D17"/>
    <w:rsid w:val="00C80B2C"/>
    <w:rsid w:val="00D9241F"/>
    <w:rsid w:val="00DD5AFC"/>
    <w:rsid w:val="00ED4488"/>
    <w:rsid w:val="00F82301"/>
    <w:rsid w:val="00F853B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3B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A7D17"/>
    <w:pPr>
      <w:ind w:left="720"/>
      <w:contextualSpacing/>
    </w:pPr>
  </w:style>
  <w:style w:type="paragraph" w:styleId="NormalWeb">
    <w:name w:val="Normal (Web)"/>
    <w:basedOn w:val="Normal"/>
    <w:uiPriority w:val="99"/>
    <w:semiHidden/>
    <w:unhideWhenUsed/>
    <w:rsid w:val="00362CC3"/>
    <w:pPr>
      <w:spacing w:before="100" w:beforeAutospacing="1" w:after="100" w:afterAutospacing="1" w:line="240" w:lineRule="auto"/>
    </w:pPr>
    <w:rPr>
      <w:rFonts w:ascii="Times New Roman" w:eastAsia="Times New Roman" w:hAnsi="Times New Roman" w:cs="Times New Roman"/>
      <w:sz w:val="24"/>
      <w:szCs w:val="24"/>
      <w:lang w:eastAsia="es-SV"/>
    </w:rPr>
  </w:style>
  <w:style w:type="paragraph" w:styleId="Textodeglobo">
    <w:name w:val="Balloon Text"/>
    <w:basedOn w:val="Normal"/>
    <w:link w:val="TextodegloboCar"/>
    <w:uiPriority w:val="99"/>
    <w:semiHidden/>
    <w:unhideWhenUsed/>
    <w:rsid w:val="00362CC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2C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A7D17"/>
    <w:pPr>
      <w:ind w:left="720"/>
      <w:contextualSpacing/>
    </w:pPr>
  </w:style>
  <w:style w:type="paragraph" w:styleId="NormalWeb">
    <w:name w:val="Normal (Web)"/>
    <w:basedOn w:val="Normal"/>
    <w:uiPriority w:val="99"/>
    <w:semiHidden/>
    <w:unhideWhenUsed/>
    <w:rsid w:val="00362CC3"/>
    <w:pPr>
      <w:spacing w:before="100" w:beforeAutospacing="1" w:after="100" w:afterAutospacing="1" w:line="240" w:lineRule="auto"/>
    </w:pPr>
    <w:rPr>
      <w:rFonts w:ascii="Times New Roman" w:eastAsia="Times New Roman" w:hAnsi="Times New Roman" w:cs="Times New Roman"/>
      <w:sz w:val="24"/>
      <w:szCs w:val="24"/>
      <w:lang w:eastAsia="es-SV"/>
    </w:rPr>
  </w:style>
  <w:style w:type="paragraph" w:styleId="Textodeglobo">
    <w:name w:val="Balloon Text"/>
    <w:basedOn w:val="Normal"/>
    <w:link w:val="TextodegloboCar"/>
    <w:uiPriority w:val="99"/>
    <w:semiHidden/>
    <w:unhideWhenUsed/>
    <w:rsid w:val="00362CC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2C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0727102">
      <w:bodyDiv w:val="1"/>
      <w:marLeft w:val="0"/>
      <w:marRight w:val="0"/>
      <w:marTop w:val="0"/>
      <w:marBottom w:val="0"/>
      <w:divBdr>
        <w:top w:val="none" w:sz="0" w:space="0" w:color="auto"/>
        <w:left w:val="none" w:sz="0" w:space="0" w:color="auto"/>
        <w:bottom w:val="none" w:sz="0" w:space="0" w:color="auto"/>
        <w:right w:val="none" w:sz="0" w:space="0" w:color="auto"/>
      </w:divBdr>
    </w:div>
    <w:div w:id="2065829729">
      <w:bodyDiv w:val="1"/>
      <w:marLeft w:val="0"/>
      <w:marRight w:val="0"/>
      <w:marTop w:val="0"/>
      <w:marBottom w:val="0"/>
      <w:divBdr>
        <w:top w:val="none" w:sz="0" w:space="0" w:color="auto"/>
        <w:left w:val="none" w:sz="0" w:space="0" w:color="auto"/>
        <w:bottom w:val="none" w:sz="0" w:space="0" w:color="auto"/>
        <w:right w:val="none" w:sz="0" w:space="0" w:color="auto"/>
      </w:divBdr>
      <w:divsChild>
        <w:div w:id="765617322">
          <w:marLeft w:val="0"/>
          <w:marRight w:val="0"/>
          <w:marTop w:val="0"/>
          <w:marBottom w:val="0"/>
          <w:divBdr>
            <w:top w:val="none" w:sz="0" w:space="0" w:color="auto"/>
            <w:left w:val="none" w:sz="0" w:space="0" w:color="auto"/>
            <w:bottom w:val="none" w:sz="0" w:space="0" w:color="auto"/>
            <w:right w:val="none" w:sz="0" w:space="0" w:color="auto"/>
          </w:divBdr>
          <w:divsChild>
            <w:div w:id="464783934">
              <w:marLeft w:val="0"/>
              <w:marRight w:val="0"/>
              <w:marTop w:val="0"/>
              <w:marBottom w:val="0"/>
              <w:divBdr>
                <w:top w:val="none" w:sz="0" w:space="0" w:color="auto"/>
                <w:left w:val="none" w:sz="0" w:space="0" w:color="auto"/>
                <w:bottom w:val="none" w:sz="0" w:space="0" w:color="auto"/>
                <w:right w:val="none" w:sz="0" w:space="0" w:color="auto"/>
              </w:divBdr>
            </w:div>
            <w:div w:id="199409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2</Pages>
  <Words>812</Words>
  <Characters>4470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Argueta</dc:creator>
  <cp:lastModifiedBy>ivania</cp:lastModifiedBy>
  <cp:revision>2</cp:revision>
  <dcterms:created xsi:type="dcterms:W3CDTF">2014-09-14T19:44:00Z</dcterms:created>
  <dcterms:modified xsi:type="dcterms:W3CDTF">2014-09-15T01:36:00Z</dcterms:modified>
</cp:coreProperties>
</file>